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End w:id="0"/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第一师阿拉尔市2021年危险化学品企业</w:t>
      </w: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安全检查购买服务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bidi="ar"/>
        </w:rPr>
        <w:t>采购询价单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方正小标宋_GBK" w:hAnsi="Arial" w:eastAsia="方正小标宋_GBK" w:cs="Arial"/>
          <w:kern w:val="0"/>
          <w:sz w:val="44"/>
          <w:szCs w:val="44"/>
          <w:lang w:bidi="ar"/>
        </w:rPr>
      </w:pPr>
    </w:p>
    <w:p>
      <w:pPr>
        <w:widowControl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询价时间：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日</w:t>
      </w:r>
    </w:p>
    <w:tbl>
      <w:tblPr>
        <w:tblStyle w:val="3"/>
        <w:tblW w:w="8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300"/>
        <w:gridCol w:w="2301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采购单位名称（公章）</w:t>
            </w:r>
          </w:p>
        </w:tc>
        <w:tc>
          <w:tcPr>
            <w:tcW w:w="4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师市应急管理局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梁强强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15099299320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采购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 w:bidi="ar"/>
              </w:rPr>
              <w:t>内容及相关工作要求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按照《第一师阿拉尔市应急管理局202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年度安全生产监督检查计划》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要求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，协助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对辖区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44家危险化学品生产、使用、经营企业开展安全生产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检查和指导服务。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（一）检查频次、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检查时间、专家人数及要求见采购询价函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（二）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每次检查企业名单、检查内容、检查事项由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确定。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（三）根据采购方工作需求，协助采购方完成其他临时性的检查任务。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（四）技术服务费用实行包干制，包含专家劳务费、食宿费、交通费、税费、检查期间用车等一切与检查有关的费用。如因特殊原因，检查范围内未检查的企业，可根据采购方的需求进行相同工作量的任务调整。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供应商报价情况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供应商名称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  <w:t>服务项目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合计：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4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/>
    <w:sectPr>
      <w:headerReference r:id="rId3" w:type="default"/>
      <w:footnotePr>
        <w:pos w:val="beneathText"/>
      </w:footnotePr>
      <w:pgSz w:w="11905" w:h="16837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9701B"/>
    <w:rsid w:val="3729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2022-06-24T08:57:00Z</dcterms:created>
  <dc:creator>不是唯一</dc:creator>
  <cp:lastModifiedBy>不是唯一</cp:lastModifiedBy>
  <dcterms:modified xsi:type="dcterms:W3CDTF">2022-06-24T08:57:56Z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4B04E78792024827A79AA229BF45CB08</vt:lpwstr>
  </property>
  <property fmtid="{D5CDD505-2E9C-101B-9397-08002B2CF9AE}" pid="4" name="KSOSaveFontToCloudKey">
    <vt:lpwstr>5408407_cloud</vt:lpwstr>
  </property>
</Properties>
</file>