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sz w:val="32"/>
        </w:rPr>
      </w:pPr>
    </w:p>
    <w:p>
      <w:pPr>
        <w:spacing w:line="560" w:lineRule="exact"/>
        <w:rPr>
          <w:sz w:val="32"/>
        </w:rPr>
      </w:pPr>
    </w:p>
    <w:p>
      <w:pPr>
        <w:spacing w:line="560" w:lineRule="exact"/>
        <w:rPr>
          <w:sz w:val="32"/>
        </w:rPr>
      </w:pPr>
      <w:r>
        <mc:AlternateContent>
          <mc:Choice Requires="wps">
            <w:drawing>
              <wp:anchor distT="0" distB="0" distL="114300" distR="114300" simplePos="0" relativeHeight="251658240" behindDoc="0" locked="0" layoutInCell="1" allowOverlap="1">
                <wp:simplePos x="0" y="0"/>
                <wp:positionH relativeFrom="column">
                  <wp:posOffset>-121920</wp:posOffset>
                </wp:positionH>
                <wp:positionV relativeFrom="paragraph">
                  <wp:posOffset>204470</wp:posOffset>
                </wp:positionV>
                <wp:extent cx="5809615" cy="1082040"/>
                <wp:effectExtent l="4445" t="4445" r="15240" b="18415"/>
                <wp:wrapNone/>
                <wp:docPr id="1" name="文本框 2"/>
                <wp:cNvGraphicFramePr/>
                <a:graphic xmlns:a="http://schemas.openxmlformats.org/drawingml/2006/main">
                  <a:graphicData uri="http://schemas.microsoft.com/office/word/2010/wordprocessingShape">
                    <wps:wsp>
                      <wps:cNvSpPr txBox="1"/>
                      <wps:spPr>
                        <a:xfrm>
                          <a:off x="0" y="0"/>
                          <a:ext cx="5809615" cy="108204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tabs>
                                <w:tab w:val="left" w:pos="152"/>
                              </w:tabs>
                              <w:spacing w:line="1500" w:lineRule="exact"/>
                              <w:ind w:left="-136" w:leftChars="-46" w:right="-221" w:rightChars="-69" w:hanging="11"/>
                              <w:rPr>
                                <w:rFonts w:ascii="方正大标宋简体" w:eastAsia="方正大标宋简体"/>
                                <w:color w:val="000000"/>
                                <w:spacing w:val="24"/>
                                <w:w w:val="50"/>
                                <w:sz w:val="140"/>
                              </w:rPr>
                            </w:pPr>
                            <w:r>
                              <w:rPr>
                                <w:rFonts w:hint="eastAsia" w:ascii="方正大标宋简体" w:eastAsia="方正大标宋简体"/>
                                <w:color w:val="000000"/>
                                <w:spacing w:val="24"/>
                                <w:w w:val="50"/>
                                <w:sz w:val="140"/>
                              </w:rPr>
                              <w:t>一师（阿拉尔市）机关发电</w:t>
                            </w:r>
                          </w:p>
                        </w:txbxContent>
                      </wps:txbx>
                      <wps:bodyPr upright="1"/>
                    </wps:wsp>
                  </a:graphicData>
                </a:graphic>
              </wp:anchor>
            </w:drawing>
          </mc:Choice>
          <mc:Fallback>
            <w:pict>
              <v:shape id="文本框 2" o:spid="_x0000_s1026" o:spt="202" type="#_x0000_t202" style="position:absolute;left:0pt;margin-left:-9.6pt;margin-top:16.1pt;height:85.2pt;width:457.45pt;z-index:251658240;mso-width-relative:page;mso-height-relative:page;" fillcolor="#FFFFFF" filled="t" stroked="t" coordsize="21600,21600" o:gfxdata="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vLMJvdkAAAAKAQAADwAAAAAAAAABACAAAAAi&#10;AAAAZHJzL2Rvd25yZXYueG1sUEsBAhQAFAAAAAgAh07iQAvtxnIJAgAANwQAAA4AAAAAAAAAAQAg&#10;AAAAKAEAAGRycy9lMm9Eb2MueG1sUEsFBgAAAAAGAAYAWQEAAKMFAAAAAA==&#10;">
                <v:fill on="t" focussize="0,0"/>
                <v:stroke color="#FFFFFF" joinstyle="miter"/>
                <v:imagedata o:title=""/>
                <o:lock v:ext="edit" aspectratio="f"/>
                <v:textbox>
                  <w:txbxContent>
                    <w:p>
                      <w:pPr>
                        <w:tabs>
                          <w:tab w:val="left" w:pos="152"/>
                        </w:tabs>
                        <w:spacing w:line="1500" w:lineRule="exact"/>
                        <w:ind w:left="-136" w:leftChars="-46" w:right="-221" w:rightChars="-69" w:hanging="11"/>
                        <w:rPr>
                          <w:rFonts w:ascii="方正大标宋简体" w:eastAsia="方正大标宋简体"/>
                          <w:color w:val="000000"/>
                          <w:spacing w:val="24"/>
                          <w:w w:val="50"/>
                          <w:sz w:val="140"/>
                        </w:rPr>
                      </w:pPr>
                      <w:r>
                        <w:rPr>
                          <w:rFonts w:hint="eastAsia" w:ascii="方正大标宋简体" w:eastAsia="方正大标宋简体"/>
                          <w:color w:val="000000"/>
                          <w:spacing w:val="24"/>
                          <w:w w:val="50"/>
                          <w:sz w:val="140"/>
                        </w:rPr>
                        <w:t>一师（阿拉尔市）机关发电</w:t>
                      </w:r>
                    </w:p>
                  </w:txbxContent>
                </v:textbox>
              </v:shape>
            </w:pict>
          </mc:Fallback>
        </mc:AlternateContent>
      </w:r>
    </w:p>
    <w:p>
      <w:pPr>
        <w:spacing w:line="560" w:lineRule="exact"/>
        <w:rPr>
          <w:sz w:val="32"/>
        </w:rPr>
      </w:pPr>
    </w:p>
    <w:p>
      <w:pPr>
        <w:spacing w:line="560" w:lineRule="exact"/>
        <w:rPr>
          <w:sz w:val="32"/>
        </w:rPr>
      </w:pPr>
    </w:p>
    <w:p>
      <w:pPr>
        <w:spacing w:line="560" w:lineRule="exact"/>
        <w:rPr>
          <w:sz w:val="32"/>
        </w:rPr>
      </w:pPr>
    </w:p>
    <w:p>
      <w:pPr>
        <w:spacing w:line="560" w:lineRule="exact"/>
        <w:rPr>
          <w:sz w:val="32"/>
        </w:rPr>
      </w:pPr>
    </w:p>
    <w:p>
      <w:pPr>
        <w:spacing w:line="560" w:lineRule="exact"/>
        <w:rPr>
          <w:sz w:val="32"/>
        </w:rPr>
      </w:pPr>
      <w:r>
        <mc:AlternateContent>
          <mc:Choice Requires="wps">
            <w:drawing>
              <wp:anchor distT="0" distB="0" distL="114300" distR="114300" simplePos="0" relativeHeight="251659264" behindDoc="0" locked="0" layoutInCell="1" allowOverlap="1">
                <wp:simplePos x="0" y="0"/>
                <wp:positionH relativeFrom="column">
                  <wp:posOffset>-122555</wp:posOffset>
                </wp:positionH>
                <wp:positionV relativeFrom="paragraph">
                  <wp:posOffset>79375</wp:posOffset>
                </wp:positionV>
                <wp:extent cx="5833110" cy="989965"/>
                <wp:effectExtent l="4445" t="4445" r="10795" b="15240"/>
                <wp:wrapNone/>
                <wp:docPr id="2" name="文本框 3"/>
                <wp:cNvGraphicFramePr/>
                <a:graphic xmlns:a="http://schemas.openxmlformats.org/drawingml/2006/main">
                  <a:graphicData uri="http://schemas.microsoft.com/office/word/2010/wordprocessingShape">
                    <wps:wsp>
                      <wps:cNvSpPr txBox="1"/>
                      <wps:spPr>
                        <a:xfrm>
                          <a:off x="0" y="0"/>
                          <a:ext cx="5833110" cy="989965"/>
                        </a:xfrm>
                        <a:prstGeom prst="rect">
                          <a:avLst/>
                        </a:prstGeom>
                        <a:solidFill>
                          <a:srgbClr val="FFFFFF"/>
                        </a:solidFill>
                        <a:ln w="9525" cap="flat" cmpd="sng">
                          <a:solidFill>
                            <a:srgbClr val="FFFFFF"/>
                          </a:solidFill>
                          <a:prstDash val="solid"/>
                          <a:miter/>
                          <a:headEnd type="none" w="med" len="med"/>
                          <a:tailEnd type="none" w="med" len="med"/>
                        </a:ln>
                      </wps:spPr>
                      <wps:txbx>
                        <w:txbxContent>
                          <w:tbl>
                            <w:tblPr>
                              <w:tblStyle w:val="4"/>
                              <w:tblW w:w="8680" w:type="dxa"/>
                              <w:tblInd w:w="108" w:type="dxa"/>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6203"/>
                              <w:gridCol w:w="2477"/>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42" w:hRule="atLeast"/>
                              </w:trPr>
                              <w:tc>
                                <w:tcPr>
                                  <w:tcW w:w="6203" w:type="dxa"/>
                                  <w:tcBorders>
                                    <w:top w:val="nil"/>
                                    <w:left w:val="nil"/>
                                    <w:right w:val="nil"/>
                                  </w:tcBorders>
                                  <w:vAlign w:val="center"/>
                                </w:tcPr>
                                <w:p>
                                  <w:pPr>
                                    <w:spacing w:line="520" w:lineRule="exact"/>
                                    <w:jc w:val="left"/>
                                    <w:rPr>
                                      <w:color w:val="000000"/>
                                      <w:sz w:val="32"/>
                                    </w:rPr>
                                  </w:pPr>
                                  <w:r>
                                    <w:rPr>
                                      <w:rFonts w:hint="eastAsia"/>
                                      <w:color w:val="000000"/>
                                      <w:sz w:val="32"/>
                                    </w:rPr>
                                    <w:t>发电单位</w:t>
                                  </w:r>
                                  <w:r>
                                    <w:rPr>
                                      <w:color w:val="000000"/>
                                      <w:sz w:val="32"/>
                                    </w:rPr>
                                    <w:t xml:space="preserve">  </w:t>
                                  </w:r>
                                  <w:r>
                                    <w:rPr>
                                      <w:rFonts w:hint="eastAsia" w:eastAsia="楷体_GB2312"/>
                                      <w:color w:val="000000"/>
                                      <w:sz w:val="32"/>
                                    </w:rPr>
                                    <w:t>师市</w:t>
                                  </w:r>
                                  <w:r>
                                    <w:rPr>
                                      <w:rFonts w:hint="eastAsia" w:eastAsia="楷体_GB2312"/>
                                      <w:color w:val="000000"/>
                                      <w:sz w:val="32"/>
                                      <w:lang w:eastAsia="zh-CN"/>
                                    </w:rPr>
                                    <w:t>住建</w:t>
                                  </w:r>
                                  <w:r>
                                    <w:rPr>
                                      <w:rFonts w:hint="eastAsia" w:eastAsia="楷体_GB2312"/>
                                      <w:color w:val="000000"/>
                                      <w:sz w:val="32"/>
                                    </w:rPr>
                                    <w:t>局</w:t>
                                  </w:r>
                                </w:p>
                              </w:tc>
                              <w:tc>
                                <w:tcPr>
                                  <w:tcW w:w="2477" w:type="dxa"/>
                                  <w:tcBorders>
                                    <w:top w:val="nil"/>
                                    <w:left w:val="nil"/>
                                    <w:right w:val="nil"/>
                                  </w:tcBorders>
                                  <w:vAlign w:val="center"/>
                                </w:tcPr>
                                <w:p>
                                  <w:pPr>
                                    <w:spacing w:line="520" w:lineRule="exact"/>
                                    <w:jc w:val="left"/>
                                    <w:rPr>
                                      <w:rFonts w:hint="eastAsia" w:eastAsia="宋体"/>
                                      <w:color w:val="000000"/>
                                      <w:sz w:val="32"/>
                                      <w:lang w:eastAsia="zh-CN"/>
                                    </w:rPr>
                                  </w:pPr>
                                  <w:r>
                                    <w:rPr>
                                      <w:rFonts w:hint="eastAsia"/>
                                      <w:color w:val="000000"/>
                                      <w:sz w:val="32"/>
                                    </w:rPr>
                                    <w:t>签批</w:t>
                                  </w:r>
                                  <w:r>
                                    <w:rPr>
                                      <w:color w:val="000000"/>
                                      <w:sz w:val="32"/>
                                    </w:rPr>
                                    <w:t xml:space="preserve">  </w:t>
                                  </w:r>
                                  <w:r>
                                    <w:rPr>
                                      <w:rFonts w:hint="eastAsia" w:ascii="楷体" w:hAnsi="楷体" w:eastAsia="楷体" w:cs="楷体"/>
                                      <w:color w:val="000000"/>
                                      <w:sz w:val="36"/>
                                      <w:szCs w:val="36"/>
                                      <w:lang w:val="en-US" w:eastAsia="zh-CN"/>
                                    </w:rPr>
                                    <w:t>汪小兵</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703" w:hRule="atLeast"/>
                              </w:trPr>
                              <w:tc>
                                <w:tcPr>
                                  <w:tcW w:w="8680" w:type="dxa"/>
                                  <w:gridSpan w:val="2"/>
                                  <w:tcBorders>
                                    <w:left w:val="nil"/>
                                    <w:right w:val="nil"/>
                                  </w:tcBorders>
                                  <w:vAlign w:val="center"/>
                                </w:tcPr>
                                <w:p>
                                  <w:pPr>
                                    <w:spacing w:line="520" w:lineRule="exact"/>
                                    <w:jc w:val="left"/>
                                    <w:rPr>
                                      <w:color w:val="000000"/>
                                      <w:sz w:val="32"/>
                                    </w:rPr>
                                  </w:pPr>
                                  <w:r>
                                    <w:rPr>
                                      <w:rFonts w:hint="eastAsia"/>
                                      <w:color w:val="000000"/>
                                      <w:sz w:val="32"/>
                                    </w:rPr>
                                    <w:t>等</w:t>
                                  </w:r>
                                  <w:r>
                                    <w:rPr>
                                      <w:color w:val="000000"/>
                                      <w:sz w:val="32"/>
                                    </w:rPr>
                                    <w:t xml:space="preserve">    </w:t>
                                  </w:r>
                                  <w:r>
                                    <w:rPr>
                                      <w:rFonts w:hint="eastAsia"/>
                                      <w:color w:val="000000"/>
                                      <w:sz w:val="32"/>
                                    </w:rPr>
                                    <w:t>级</w:t>
                                  </w:r>
                                  <w:r>
                                    <w:rPr>
                                      <w:color w:val="000000"/>
                                      <w:sz w:val="32"/>
                                    </w:rPr>
                                    <w:t xml:space="preserve">  </w:t>
                                  </w:r>
                                  <w:r>
                                    <w:rPr>
                                      <w:rFonts w:hint="eastAsia"/>
                                      <w:color w:val="000000"/>
                                      <w:sz w:val="32"/>
                                    </w:rPr>
                                    <w:t xml:space="preserve">特急·明电 </w:t>
                                  </w:r>
                                  <w:r>
                                    <w:rPr>
                                      <w:rFonts w:eastAsia="黑体"/>
                                      <w:color w:val="000000"/>
                                      <w:sz w:val="32"/>
                                    </w:rPr>
                                    <w:t xml:space="preserve">       </w:t>
                                  </w:r>
                                  <w:r>
                                    <w:rPr>
                                      <w:rFonts w:hint="eastAsia" w:eastAsia="黑体"/>
                                      <w:color w:val="000000"/>
                                      <w:sz w:val="32"/>
                                      <w:lang w:val="en-US" w:eastAsia="zh-CN"/>
                                    </w:rPr>
                                    <w:t xml:space="preserve">   </w:t>
                                  </w:r>
                                  <w:r>
                                    <w:rPr>
                                      <w:rFonts w:hint="eastAsia" w:ascii="楷体_GB2312" w:eastAsia="楷体_GB2312"/>
                                      <w:color w:val="000000"/>
                                      <w:sz w:val="32"/>
                                    </w:rPr>
                                    <w:t>师市建电〔</w:t>
                                  </w:r>
                                  <w:r>
                                    <w:rPr>
                                      <w:rFonts w:ascii="楷体_GB2312" w:eastAsia="楷体_GB2312"/>
                                      <w:color w:val="000000"/>
                                      <w:sz w:val="32"/>
                                    </w:rPr>
                                    <w:t>20</w:t>
                                  </w:r>
                                  <w:r>
                                    <w:rPr>
                                      <w:rFonts w:hint="eastAsia" w:ascii="楷体_GB2312" w:eastAsia="楷体_GB2312"/>
                                      <w:color w:val="000000"/>
                                      <w:sz w:val="32"/>
                                      <w:lang w:val="en-US" w:eastAsia="zh-CN"/>
                                    </w:rPr>
                                    <w:t>21</w:t>
                                  </w:r>
                                  <w:r>
                                    <w:rPr>
                                      <w:rFonts w:hint="eastAsia" w:ascii="楷体_GB2312" w:eastAsia="楷体_GB2312"/>
                                      <w:color w:val="000000"/>
                                      <w:sz w:val="32"/>
                                    </w:rPr>
                                    <w:t>〕</w:t>
                                  </w:r>
                                  <w:r>
                                    <w:rPr>
                                      <w:rFonts w:hint="eastAsia" w:ascii="楷体_GB2312" w:eastAsia="楷体_GB2312"/>
                                      <w:color w:val="000000"/>
                                      <w:sz w:val="32"/>
                                      <w:lang w:val="en-US" w:eastAsia="zh-CN"/>
                                    </w:rPr>
                                    <w:t>19</w:t>
                                  </w:r>
                                  <w:r>
                                    <w:rPr>
                                      <w:rFonts w:hint="eastAsia" w:ascii="楷体_GB2312" w:eastAsia="楷体_GB2312"/>
                                      <w:color w:val="000000"/>
                                      <w:sz w:val="32"/>
                                    </w:rPr>
                                    <w:t>号</w:t>
                                  </w:r>
                                </w:p>
                              </w:tc>
                            </w:tr>
                          </w:tbl>
                          <w:p>
                            <w:pPr>
                              <w:rPr>
                                <w:sz w:val="32"/>
                              </w:rPr>
                            </w:pPr>
                          </w:p>
                        </w:txbxContent>
                      </wps:txbx>
                      <wps:bodyPr upright="1"/>
                    </wps:wsp>
                  </a:graphicData>
                </a:graphic>
              </wp:anchor>
            </w:drawing>
          </mc:Choice>
          <mc:Fallback>
            <w:pict>
              <v:shape id="文本框 3" o:spid="_x0000_s1026" o:spt="202" type="#_x0000_t202" style="position:absolute;left:0pt;margin-left:-9.65pt;margin-top:6.25pt;height:77.95pt;width:459.3pt;z-index:251659264;mso-width-relative:page;mso-height-relative:page;" fillcolor="#FFFFFF" filled="t" stroked="t" coordsize="21600,21600" o:gfxdata="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&#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O4PqTXAAAACgEAAA8AAAAAAAAAAQAgAAAAIgAAAGRy&#10;cy9kb3ducmV2LnhtbFBLAQIUABQAAAAIAIdO4kDmpRVwBgIAADYEAAAOAAAAAAAAAAEAIAAAACYB&#10;AABkcnMvZTJvRG9jLnhtbFBLBQYAAAAABgAGAFkBAACeBQAAAAA=&#10;">
                <v:fill on="t" focussize="0,0"/>
                <v:stroke color="#FFFFFF" joinstyle="miter"/>
                <v:imagedata o:title=""/>
                <o:lock v:ext="edit" aspectratio="f"/>
                <v:textbox>
                  <w:txbxContent>
                    <w:tbl>
                      <w:tblPr>
                        <w:tblStyle w:val="4"/>
                        <w:tblW w:w="8680" w:type="dxa"/>
                        <w:tblInd w:w="108" w:type="dxa"/>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6203"/>
                        <w:gridCol w:w="2477"/>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42" w:hRule="atLeast"/>
                        </w:trPr>
                        <w:tc>
                          <w:tcPr>
                            <w:tcW w:w="6203" w:type="dxa"/>
                            <w:tcBorders>
                              <w:top w:val="nil"/>
                              <w:left w:val="nil"/>
                              <w:right w:val="nil"/>
                            </w:tcBorders>
                            <w:vAlign w:val="center"/>
                          </w:tcPr>
                          <w:p>
                            <w:pPr>
                              <w:spacing w:line="520" w:lineRule="exact"/>
                              <w:jc w:val="left"/>
                              <w:rPr>
                                <w:color w:val="000000"/>
                                <w:sz w:val="32"/>
                              </w:rPr>
                            </w:pPr>
                            <w:r>
                              <w:rPr>
                                <w:rFonts w:hint="eastAsia"/>
                                <w:color w:val="000000"/>
                                <w:sz w:val="32"/>
                              </w:rPr>
                              <w:t>发电单位</w:t>
                            </w:r>
                            <w:r>
                              <w:rPr>
                                <w:color w:val="000000"/>
                                <w:sz w:val="32"/>
                              </w:rPr>
                              <w:t xml:space="preserve">  </w:t>
                            </w:r>
                            <w:r>
                              <w:rPr>
                                <w:rFonts w:hint="eastAsia" w:eastAsia="楷体_GB2312"/>
                                <w:color w:val="000000"/>
                                <w:sz w:val="32"/>
                              </w:rPr>
                              <w:t>师市</w:t>
                            </w:r>
                            <w:r>
                              <w:rPr>
                                <w:rFonts w:hint="eastAsia" w:eastAsia="楷体_GB2312"/>
                                <w:color w:val="000000"/>
                                <w:sz w:val="32"/>
                                <w:lang w:eastAsia="zh-CN"/>
                              </w:rPr>
                              <w:t>住建</w:t>
                            </w:r>
                            <w:r>
                              <w:rPr>
                                <w:rFonts w:hint="eastAsia" w:eastAsia="楷体_GB2312"/>
                                <w:color w:val="000000"/>
                                <w:sz w:val="32"/>
                              </w:rPr>
                              <w:t>局</w:t>
                            </w:r>
                          </w:p>
                        </w:tc>
                        <w:tc>
                          <w:tcPr>
                            <w:tcW w:w="2477" w:type="dxa"/>
                            <w:tcBorders>
                              <w:top w:val="nil"/>
                              <w:left w:val="nil"/>
                              <w:right w:val="nil"/>
                            </w:tcBorders>
                            <w:vAlign w:val="center"/>
                          </w:tcPr>
                          <w:p>
                            <w:pPr>
                              <w:spacing w:line="520" w:lineRule="exact"/>
                              <w:jc w:val="left"/>
                              <w:rPr>
                                <w:rFonts w:hint="eastAsia" w:eastAsia="宋体"/>
                                <w:color w:val="000000"/>
                                <w:sz w:val="32"/>
                                <w:lang w:eastAsia="zh-CN"/>
                              </w:rPr>
                            </w:pPr>
                            <w:r>
                              <w:rPr>
                                <w:rFonts w:hint="eastAsia"/>
                                <w:color w:val="000000"/>
                                <w:sz w:val="32"/>
                              </w:rPr>
                              <w:t>签批</w:t>
                            </w:r>
                            <w:r>
                              <w:rPr>
                                <w:color w:val="000000"/>
                                <w:sz w:val="32"/>
                              </w:rPr>
                              <w:t xml:space="preserve">  </w:t>
                            </w:r>
                            <w:r>
                              <w:rPr>
                                <w:rFonts w:hint="eastAsia" w:ascii="楷体" w:hAnsi="楷体" w:eastAsia="楷体" w:cs="楷体"/>
                                <w:color w:val="000000"/>
                                <w:sz w:val="36"/>
                                <w:szCs w:val="36"/>
                                <w:lang w:val="en-US" w:eastAsia="zh-CN"/>
                              </w:rPr>
                              <w:t>汪小兵</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703" w:hRule="atLeast"/>
                        </w:trPr>
                        <w:tc>
                          <w:tcPr>
                            <w:tcW w:w="8680" w:type="dxa"/>
                            <w:gridSpan w:val="2"/>
                            <w:tcBorders>
                              <w:left w:val="nil"/>
                              <w:right w:val="nil"/>
                            </w:tcBorders>
                            <w:vAlign w:val="center"/>
                          </w:tcPr>
                          <w:p>
                            <w:pPr>
                              <w:spacing w:line="520" w:lineRule="exact"/>
                              <w:jc w:val="left"/>
                              <w:rPr>
                                <w:color w:val="000000"/>
                                <w:sz w:val="32"/>
                              </w:rPr>
                            </w:pPr>
                            <w:r>
                              <w:rPr>
                                <w:rFonts w:hint="eastAsia"/>
                                <w:color w:val="000000"/>
                                <w:sz w:val="32"/>
                              </w:rPr>
                              <w:t>等</w:t>
                            </w:r>
                            <w:r>
                              <w:rPr>
                                <w:color w:val="000000"/>
                                <w:sz w:val="32"/>
                              </w:rPr>
                              <w:t xml:space="preserve">    </w:t>
                            </w:r>
                            <w:r>
                              <w:rPr>
                                <w:rFonts w:hint="eastAsia"/>
                                <w:color w:val="000000"/>
                                <w:sz w:val="32"/>
                              </w:rPr>
                              <w:t>级</w:t>
                            </w:r>
                            <w:r>
                              <w:rPr>
                                <w:color w:val="000000"/>
                                <w:sz w:val="32"/>
                              </w:rPr>
                              <w:t xml:space="preserve">  </w:t>
                            </w:r>
                            <w:r>
                              <w:rPr>
                                <w:rFonts w:hint="eastAsia"/>
                                <w:color w:val="000000"/>
                                <w:sz w:val="32"/>
                              </w:rPr>
                              <w:t xml:space="preserve">特急·明电 </w:t>
                            </w:r>
                            <w:r>
                              <w:rPr>
                                <w:rFonts w:eastAsia="黑体"/>
                                <w:color w:val="000000"/>
                                <w:sz w:val="32"/>
                              </w:rPr>
                              <w:t xml:space="preserve">       </w:t>
                            </w:r>
                            <w:r>
                              <w:rPr>
                                <w:rFonts w:hint="eastAsia" w:eastAsia="黑体"/>
                                <w:color w:val="000000"/>
                                <w:sz w:val="32"/>
                                <w:lang w:val="en-US" w:eastAsia="zh-CN"/>
                              </w:rPr>
                              <w:t xml:space="preserve">   </w:t>
                            </w:r>
                            <w:r>
                              <w:rPr>
                                <w:rFonts w:hint="eastAsia" w:ascii="楷体_GB2312" w:eastAsia="楷体_GB2312"/>
                                <w:color w:val="000000"/>
                                <w:sz w:val="32"/>
                              </w:rPr>
                              <w:t>师市建电〔</w:t>
                            </w:r>
                            <w:r>
                              <w:rPr>
                                <w:rFonts w:ascii="楷体_GB2312" w:eastAsia="楷体_GB2312"/>
                                <w:color w:val="000000"/>
                                <w:sz w:val="32"/>
                              </w:rPr>
                              <w:t>20</w:t>
                            </w:r>
                            <w:r>
                              <w:rPr>
                                <w:rFonts w:hint="eastAsia" w:ascii="楷体_GB2312" w:eastAsia="楷体_GB2312"/>
                                <w:color w:val="000000"/>
                                <w:sz w:val="32"/>
                                <w:lang w:val="en-US" w:eastAsia="zh-CN"/>
                              </w:rPr>
                              <w:t>21</w:t>
                            </w:r>
                            <w:r>
                              <w:rPr>
                                <w:rFonts w:hint="eastAsia" w:ascii="楷体_GB2312" w:eastAsia="楷体_GB2312"/>
                                <w:color w:val="000000"/>
                                <w:sz w:val="32"/>
                              </w:rPr>
                              <w:t>〕</w:t>
                            </w:r>
                            <w:r>
                              <w:rPr>
                                <w:rFonts w:hint="eastAsia" w:ascii="楷体_GB2312" w:eastAsia="楷体_GB2312"/>
                                <w:color w:val="000000"/>
                                <w:sz w:val="32"/>
                                <w:lang w:val="en-US" w:eastAsia="zh-CN"/>
                              </w:rPr>
                              <w:t>19</w:t>
                            </w:r>
                            <w:r>
                              <w:rPr>
                                <w:rFonts w:hint="eastAsia" w:ascii="楷体_GB2312" w:eastAsia="楷体_GB2312"/>
                                <w:color w:val="000000"/>
                                <w:sz w:val="32"/>
                              </w:rPr>
                              <w:t>号</w:t>
                            </w:r>
                          </w:p>
                        </w:tc>
                      </w:tr>
                    </w:tbl>
                    <w:p>
                      <w:pPr>
                        <w:rPr>
                          <w:sz w:val="32"/>
                        </w:rPr>
                      </w:pPr>
                    </w:p>
                  </w:txbxContent>
                </v:textbox>
              </v:shape>
            </w:pict>
          </mc:Fallback>
        </mc:AlternateContent>
      </w:r>
    </w:p>
    <w:p>
      <w:pPr>
        <w:spacing w:line="560" w:lineRule="exact"/>
        <w:rPr>
          <w:sz w:val="32"/>
        </w:rPr>
      </w:pPr>
    </w:p>
    <w:p>
      <w:pPr>
        <w:spacing w:line="560" w:lineRule="exact"/>
        <w:rPr>
          <w:sz w:val="44"/>
          <w:szCs w:val="44"/>
        </w:rPr>
      </w:pPr>
    </w:p>
    <w:p>
      <w:pPr>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方正小标宋简体" w:hAnsi="方正小标宋简体" w:eastAsia="方正小标宋简体" w:cs="方正小标宋简体"/>
          <w:sz w:val="44"/>
          <w:szCs w:val="44"/>
          <w:lang w:eastAsia="zh-CN"/>
        </w:rPr>
      </w:pPr>
    </w:p>
    <w:p>
      <w:pPr>
        <w:pStyle w:val="2"/>
        <w:tabs>
          <w:tab w:val="left" w:pos="4463"/>
          <w:tab w:val="left" w:pos="10663"/>
        </w:tabs>
        <w:kinsoku w:val="0"/>
        <w:overflowPunct w:val="0"/>
        <w:topLinePunct/>
        <w:spacing w:line="600" w:lineRule="exact"/>
        <w:ind w:left="0"/>
        <w:jc w:val="center"/>
        <w:rPr>
          <w:rFonts w:ascii="方正小标宋简体" w:hAnsi="方正小标宋简体" w:eastAsia="方正小标宋简体"/>
          <w:sz w:val="44"/>
        </w:rPr>
      </w:pPr>
      <w:r>
        <w:rPr>
          <w:rFonts w:hint="eastAsia" w:ascii="方正小标宋简体" w:hAnsi="方正小标宋简体" w:eastAsia="方正小标宋简体"/>
          <w:sz w:val="44"/>
        </w:rPr>
        <w:t>师市</w:t>
      </w:r>
      <w:r>
        <w:rPr>
          <w:rFonts w:hint="eastAsia" w:ascii="方正小标宋简体" w:hAnsi="方正小标宋简体" w:eastAsia="方正小标宋简体"/>
          <w:sz w:val="44"/>
          <w:lang w:val="en-US" w:eastAsia="zh-CN"/>
        </w:rPr>
        <w:t>2021年第一次建设工程消防验收备案抽查通报</w:t>
      </w:r>
    </w:p>
    <w:p>
      <w:pPr>
        <w:pStyle w:val="2"/>
        <w:keepNext w:val="0"/>
        <w:keepLines w:val="0"/>
        <w:pageBreakBefore w:val="0"/>
        <w:widowControl w:val="0"/>
        <w:tabs>
          <w:tab w:val="left" w:pos="4463"/>
          <w:tab w:val="left" w:pos="10663"/>
        </w:tabs>
        <w:kinsoku w:val="0"/>
        <w:wordWrap/>
        <w:overflowPunct w:val="0"/>
        <w:topLinePunct/>
        <w:autoSpaceDE w:val="0"/>
        <w:autoSpaceDN w:val="0"/>
        <w:bidi w:val="0"/>
        <w:adjustRightInd w:val="0"/>
        <w:snapToGrid/>
        <w:spacing w:line="400" w:lineRule="exact"/>
        <w:ind w:left="0"/>
        <w:jc w:val="center"/>
        <w:textAlignment w:val="auto"/>
        <w:rPr>
          <w:rFonts w:ascii="方正小标宋简体" w:hAnsi="方正小标宋简体" w:eastAsia="方正小标宋简体"/>
          <w:sz w:val="44"/>
        </w:rPr>
      </w:pPr>
    </w:p>
    <w:p>
      <w:pPr>
        <w:keepNext w:val="0"/>
        <w:keepLines w:val="0"/>
        <w:pageBreakBefore w:val="0"/>
        <w:widowControl w:val="0"/>
        <w:kinsoku/>
        <w:wordWrap/>
        <w:overflowPunct/>
        <w:topLinePunct/>
        <w:bidi w:val="0"/>
        <w:snapToGrid/>
        <w:spacing w:line="56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各有关单位：</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eastAsia="仿宋_GB2312" w:cs="仿宋_GB2312"/>
          <w:spacing w:val="-10"/>
        </w:rPr>
      </w:pPr>
      <w:r>
        <w:rPr>
          <w:rFonts w:hint="eastAsia" w:ascii="仿宋_GB2312" w:hAnsi="仿宋_GB2312" w:eastAsia="仿宋_GB2312" w:cs="仿宋_GB2312"/>
          <w:sz w:val="32"/>
          <w:szCs w:val="32"/>
          <w:lang w:val="en-US" w:eastAsia="zh-CN"/>
        </w:rPr>
        <w:t>根据《中华人民共和国消防法》、住建</w:t>
      </w:r>
      <w:r>
        <w:rPr>
          <w:rFonts w:hint="eastAsia" w:ascii="仿宋_GB2312" w:hAnsi="仿宋_GB2312" w:cs="仿宋_GB2312"/>
          <w:sz w:val="32"/>
          <w:szCs w:val="32"/>
          <w:lang w:val="en-US" w:eastAsia="zh-CN"/>
        </w:rPr>
        <w:t>部</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建设工程消防设计审查验收管理暂行规定</w:t>
      </w:r>
      <w:r>
        <w:rPr>
          <w:rFonts w:hint="eastAsia" w:ascii="仿宋_GB2312" w:hAnsi="仿宋_GB2312" w:eastAsia="仿宋_GB2312" w:cs="仿宋_GB2312"/>
          <w:sz w:val="32"/>
          <w:szCs w:val="32"/>
          <w:lang w:val="en-US" w:eastAsia="zh-CN"/>
        </w:rPr>
        <w:t>》，对消防一般工程采取备案抽查制，为进一步落实“放管服”改革各项工作措施，确保住建系统消防设计审查验收备案业务顺利开展，有效化解和防范工程项目建设阶段消防安全风险，切实落实各方主体责任，师市住建局于2021年2月2日-4日对辖区一般建设工程消防验收备案开展抽查。现通报如下：</w:t>
      </w:r>
    </w:p>
    <w:p>
      <w:pPr>
        <w:keepNext w:val="0"/>
        <w:keepLines w:val="0"/>
        <w:pageBreakBefore w:val="0"/>
        <w:widowControl w:val="0"/>
        <w:kinsoku/>
        <w:wordWrap/>
        <w:overflowPunct/>
        <w:autoSpaceDE/>
        <w:autoSpaceDN/>
        <w:bidi w:val="0"/>
        <w:adjustRightInd/>
        <w:snapToGrid/>
        <w:spacing w:line="560" w:lineRule="exact"/>
        <w:ind w:firstLine="615"/>
        <w:jc w:val="both"/>
        <w:textAlignment w:val="auto"/>
        <w:rPr>
          <w:rFonts w:ascii="黑体" w:hAnsi="黑体" w:eastAsia="黑体" w:cs="黑体"/>
          <w:kern w:val="2"/>
        </w:rPr>
      </w:pPr>
      <w:r>
        <w:rPr>
          <w:rFonts w:hint="eastAsia" w:ascii="黑体" w:hAnsi="黑体" w:eastAsia="黑体" w:cs="黑体"/>
          <w:kern w:val="2"/>
        </w:rPr>
        <w:t>一、</w:t>
      </w:r>
      <w:r>
        <w:rPr>
          <w:rFonts w:hint="eastAsia" w:ascii="黑体" w:hAnsi="黑体" w:eastAsia="黑体" w:cs="黑体"/>
          <w:kern w:val="2"/>
          <w:lang w:val="en-US" w:eastAsia="zh-CN"/>
        </w:rPr>
        <w:t>抽查</w:t>
      </w:r>
      <w:r>
        <w:rPr>
          <w:rFonts w:hint="eastAsia" w:ascii="黑体" w:hAnsi="黑体" w:eastAsia="黑体" w:cs="黑体"/>
          <w:kern w:val="2"/>
        </w:rPr>
        <w:t>概况</w:t>
      </w:r>
    </w:p>
    <w:p>
      <w:pPr>
        <w:keepNext w:val="0"/>
        <w:keepLines w:val="0"/>
        <w:pageBreakBefore w:val="0"/>
        <w:widowControl w:val="0"/>
        <w:kinsoku/>
        <w:wordWrap/>
        <w:overflowPunct/>
        <w:topLinePunct/>
        <w:bidi w:val="0"/>
        <w:snapToGrid/>
        <w:spacing w:line="560" w:lineRule="exact"/>
        <w:ind w:firstLine="640" w:firstLineChars="200"/>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本次抽查是对2020年受理的消防一般工程验收备案</w:t>
      </w:r>
      <w:r>
        <w:rPr>
          <w:rFonts w:hint="eastAsia" w:ascii="仿宋_GB2312" w:hAnsi="仿宋_GB2312" w:cs="仿宋_GB2312"/>
          <w:sz w:val="32"/>
          <w:szCs w:val="32"/>
          <w:lang w:val="en-US" w:eastAsia="zh-CN"/>
        </w:rPr>
        <w:t>项目“回头看”，按不低于备案总数的50%选取项目</w:t>
      </w:r>
      <w:r>
        <w:rPr>
          <w:rFonts w:hint="eastAsia" w:ascii="仿宋_GB2312" w:hAnsi="仿宋_GB2312" w:cs="仿宋_GB2312"/>
          <w:sz w:val="32"/>
          <w:szCs w:val="32"/>
          <w:lang w:val="en-US" w:eastAsia="zh-CN"/>
        </w:rPr>
        <w:t>10个，分别涉及到住宅小区、宾馆、校外培训机构、厂房、商业街、学校食堂，并随机从师市消防专家库抽取3名行业专家参与抽查。下发整改通知书9份，约谈建设单位3家，限制从业资格4家，记不良行为记录1人，拟立案处罚企业</w:t>
      </w:r>
      <w:r>
        <w:rPr>
          <w:rFonts w:hint="eastAsia" w:ascii="仿宋_GB2312" w:hAnsi="仿宋_GB2312" w:cs="仿宋_GB2312"/>
          <w:sz w:val="32"/>
          <w:szCs w:val="32"/>
          <w:lang w:val="en-US" w:eastAsia="zh-CN"/>
        </w:rPr>
        <w:t>2家。</w:t>
      </w:r>
    </w:p>
    <w:p>
      <w:pPr>
        <w:keepNext w:val="0"/>
        <w:keepLines w:val="0"/>
        <w:pageBreakBefore w:val="0"/>
        <w:widowControl w:val="0"/>
        <w:kinsoku/>
        <w:wordWrap/>
        <w:overflowPunct/>
        <w:autoSpaceDE/>
        <w:autoSpaceDN/>
        <w:bidi w:val="0"/>
        <w:adjustRightInd/>
        <w:snapToGrid/>
        <w:spacing w:line="560" w:lineRule="exact"/>
        <w:ind w:firstLine="615"/>
        <w:jc w:val="both"/>
        <w:textAlignment w:val="auto"/>
        <w:rPr>
          <w:rFonts w:ascii="黑体" w:hAnsi="黑体" w:eastAsia="黑体" w:cs="黑体"/>
          <w:kern w:val="2"/>
        </w:rPr>
      </w:pPr>
      <w:r>
        <w:rPr>
          <w:rFonts w:hint="eastAsia" w:ascii="黑体" w:hAnsi="黑体" w:eastAsia="黑体" w:cs="黑体"/>
          <w:kern w:val="2"/>
        </w:rPr>
        <w:t>二、</w:t>
      </w:r>
      <w:r>
        <w:rPr>
          <w:rFonts w:hint="eastAsia" w:ascii="黑体" w:hAnsi="黑体" w:eastAsia="黑体" w:cs="黑体"/>
          <w:kern w:val="2"/>
          <w:lang w:val="en-US" w:eastAsia="zh-CN"/>
        </w:rPr>
        <w:t>抽查出</w:t>
      </w:r>
      <w:r>
        <w:rPr>
          <w:rFonts w:hint="eastAsia" w:ascii="黑体" w:hAnsi="黑体" w:eastAsia="黑体" w:cs="黑体"/>
          <w:kern w:val="2"/>
        </w:rPr>
        <w:t>的主要问题</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（一）</w:t>
      </w:r>
      <w:r>
        <w:rPr>
          <w:rFonts w:hint="eastAsia" w:ascii="仿宋_GB2312" w:hAnsi="仿宋_GB2312" w:eastAsia="仿宋_GB2312" w:cs="仿宋_GB2312"/>
          <w:sz w:val="32"/>
          <w:szCs w:val="32"/>
          <w:lang w:val="en-US" w:eastAsia="zh-CN"/>
        </w:rPr>
        <w:t>建设单位提供的消防备案资料与现场验收情况不符。经现场抽查结果反映，建设单位未认真组织消防验收，各方主体履职不到位。造成部分项目消防设施未按图施工，施工内容未全部完成等情况。问题较突出的有：阿拉尔经济技术开发区邻里中心一标段、阿拉尔塔河明珠·华府一期建设项目。</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（二）</w:t>
      </w:r>
      <w:r>
        <w:rPr>
          <w:rFonts w:hint="eastAsia" w:ascii="仿宋_GB2312" w:hAnsi="仿宋_GB2312" w:eastAsia="仿宋_GB2312" w:cs="仿宋_GB2312"/>
          <w:sz w:val="32"/>
          <w:szCs w:val="32"/>
          <w:lang w:val="en-US" w:eastAsia="zh-CN"/>
        </w:rPr>
        <w:t>装修工程消防系统与整体建筑未联动。尤其校外培训机构，在消防改造过程中增加的消防系统，无法发挥使用功能，存在消防隐患。问题较突出的有：阿拉尔瀚博教育股份有限公司培训机构消防改造项目、阿拉尔市爱德文化艺术培训公司消防改造项目。</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（三）</w:t>
      </w:r>
      <w:r>
        <w:rPr>
          <w:rFonts w:hint="eastAsia" w:ascii="仿宋_GB2312" w:hAnsi="仿宋_GB2312" w:eastAsia="仿宋_GB2312" w:cs="仿宋_GB2312"/>
          <w:sz w:val="32"/>
          <w:szCs w:val="32"/>
          <w:lang w:val="en-US" w:eastAsia="zh-CN"/>
        </w:rPr>
        <w:t>设计单位提供的设计图纸问题突出。设计单位图纸质量把关不严，套用规范条款较多，消防自审责任不落实。问题较突出的有：新时代（西安）设计研究院有限公司设计的阿拉尔爱德文化艺术培训公司消防改造，新疆煤炭设计研究院有限责任公司设计的十团中学民族食堂建设项目。</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（四）</w:t>
      </w:r>
      <w:r>
        <w:rPr>
          <w:rFonts w:hint="eastAsia" w:ascii="仿宋_GB2312" w:hAnsi="仿宋_GB2312" w:eastAsia="仿宋_GB2312" w:cs="仿宋_GB2312"/>
          <w:sz w:val="32"/>
          <w:szCs w:val="32"/>
          <w:lang w:val="en-US" w:eastAsia="zh-CN"/>
        </w:rPr>
        <w:t>消防检测单位行为不规范。施工现场施工内容未完成，未开展检测试验工作，随意出具虚假报告。问题较突出的有：新疆正元鑫龙消防技术有限公司承接的金色家园二期建设项目消防检测业务。</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（五）</w:t>
      </w:r>
      <w:r>
        <w:rPr>
          <w:rFonts w:hint="eastAsia" w:ascii="仿宋_GB2312" w:hAnsi="仿宋_GB2312" w:eastAsia="仿宋_GB2312" w:cs="仿宋_GB2312"/>
          <w:sz w:val="32"/>
          <w:szCs w:val="32"/>
          <w:lang w:val="en-US" w:eastAsia="zh-CN"/>
        </w:rPr>
        <w:t>消防工程施工质量不达标。未按照施工规范及设计要求施工，施工质量自控不力，细部做法质量不达标，质量把关不严。问题较突出的有：阿拉尔经济技术开发区邻里中心一标段、阿拉尔市丽贤商务宾馆消防工程。</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（六）</w:t>
      </w:r>
      <w:r>
        <w:rPr>
          <w:rFonts w:hint="eastAsia" w:ascii="仿宋_GB2312" w:hAnsi="仿宋_GB2312" w:eastAsia="仿宋_GB2312" w:cs="仿宋_GB2312"/>
          <w:sz w:val="32"/>
          <w:szCs w:val="32"/>
          <w:lang w:val="en-US" w:eastAsia="zh-CN"/>
        </w:rPr>
        <w:t>使用单位消防安全意识淡薄。消防设施随意遮挡，消防维护保养不到位，消防控制系统不会使用。问题较突出的有：阿拉尔市丽贤商务宾馆消防工程、阿拉尔市爱乐琴行消防改造。</w:t>
      </w:r>
    </w:p>
    <w:p>
      <w:pPr>
        <w:keepNext w:val="0"/>
        <w:keepLines w:val="0"/>
        <w:pageBreakBefore w:val="0"/>
        <w:widowControl w:val="0"/>
        <w:kinsoku/>
        <w:wordWrap/>
        <w:overflowPunct/>
        <w:autoSpaceDE/>
        <w:autoSpaceDN/>
        <w:bidi w:val="0"/>
        <w:adjustRightInd/>
        <w:snapToGrid/>
        <w:spacing w:line="560" w:lineRule="exact"/>
        <w:ind w:firstLine="615"/>
        <w:jc w:val="both"/>
        <w:textAlignment w:val="auto"/>
        <w:rPr>
          <w:rFonts w:ascii="黑体" w:hAnsi="黑体" w:eastAsia="黑体" w:cs="黑体"/>
          <w:kern w:val="2"/>
        </w:rPr>
      </w:pPr>
      <w:r>
        <w:rPr>
          <w:rFonts w:hint="eastAsia" w:ascii="黑体" w:hAnsi="黑体" w:eastAsia="黑体" w:cs="黑体"/>
          <w:kern w:val="2"/>
        </w:rPr>
        <w:t>三、</w:t>
      </w:r>
      <w:r>
        <w:rPr>
          <w:rFonts w:hint="eastAsia" w:ascii="黑体" w:hAnsi="黑体" w:eastAsia="黑体" w:cs="黑体"/>
          <w:kern w:val="2"/>
          <w:lang w:val="en-US" w:eastAsia="zh-CN"/>
        </w:rPr>
        <w:t>抽查</w:t>
      </w:r>
      <w:r>
        <w:rPr>
          <w:rFonts w:hint="eastAsia" w:ascii="黑体" w:hAnsi="黑体" w:eastAsia="黑体" w:cs="黑体"/>
          <w:kern w:val="2"/>
        </w:rPr>
        <w:t>通报</w:t>
      </w:r>
    </w:p>
    <w:p>
      <w:pPr>
        <w:keepNext w:val="0"/>
        <w:keepLines w:val="0"/>
        <w:pageBreakBefore w:val="0"/>
        <w:widowControl w:val="0"/>
        <w:kinsoku/>
        <w:wordWrap/>
        <w:overflowPunct/>
        <w:topLinePunct/>
        <w:bidi w:val="0"/>
        <w:snapToGrid/>
        <w:spacing w:line="560" w:lineRule="exact"/>
        <w:ind w:firstLine="641"/>
        <w:jc w:val="both"/>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一）阿拉尔市新鑫国有资产经营公司。建设单位消防备案提供虚假资料，施工内容未完成，组织消防验收弄虚作假。住建局对阿拉尔市新鑫国有资产经营公司负责人进行约谈，并要求重新组织消防验收，对阿拉尔市新鑫国有资产经营公司进行全师市通报。</w:t>
      </w:r>
    </w:p>
    <w:p>
      <w:pPr>
        <w:keepNext w:val="0"/>
        <w:keepLines w:val="0"/>
        <w:pageBreakBefore w:val="0"/>
        <w:widowControl w:val="0"/>
        <w:kinsoku/>
        <w:wordWrap/>
        <w:overflowPunct/>
        <w:topLinePunct/>
        <w:bidi w:val="0"/>
        <w:snapToGrid/>
        <w:spacing w:line="560" w:lineRule="exact"/>
        <w:ind w:firstLine="641"/>
        <w:jc w:val="both"/>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二）阿拉尔丝路房地产开发有限公司。建设单位消防备案提供虚假资料，消防系统未进行检测试验，组织消防验收弄虚作假。住建局对阿拉尔丝路房地产开发有限公司负责人进行约谈，并要求重新组织验收，对阿拉尔丝路房地产开发有限公司进行全师市通报。</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（三）新疆英坤房地产开发有限公司。建设单位消防备案提供虚假资料，组织消防验收工作不认真，存在遗漏隐患。住建局对新疆英坤房地产开发有限公司负责人进行约谈。</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（四）新疆煤炭设计研究院有限责任公司。所设计电气图与建筑图局部不相符，自相矛盾，设计单位消防自审不严谨，限制在师市辖区承揽业务3个月（执行时间为2021年2月9日-2021年5月9日）。</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（五）新时代（西安）设计研究院有限公司。设计说明套用通用要求，与现场实际不相符，设计图纸未开展消防自审，限制在师市辖区承揽业务3个月（执行时间为2021年2月9日-2021年5月9日）。</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（六）新疆正元鑫龙消防技术有限公司。消防检测单位未经现场试验，出具虚假检测报告，限制在师市辖区从事检测业务3个月（执行时间为2021年2月9日-2022年5月9日），予以立案调查。</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七）新疆新熙建设工程有限责任公司。施工单位未完成设计内容，消防井施工模板至今未拆除，未开展质量验收，自查自检责任未落实，质量问题突出，项目经理范文静限制在师市投标资格3个月（执行时间为2021年2月9日-2021年5月9日）。</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（八）新疆浩方工程咨询有限公司。对消防质量验收责任未落实，监理把关不严，总监张平记不良行为记录一次。</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（九）新疆永安建总工程有限公司阿拉尔分公司。消防施工单位未按图施工，消防质量隐患较大，予以立案调查。</w:t>
      </w:r>
    </w:p>
    <w:p>
      <w:pPr>
        <w:keepNext w:val="0"/>
        <w:keepLines w:val="0"/>
        <w:pageBreakBefore w:val="0"/>
        <w:widowControl w:val="0"/>
        <w:kinsoku/>
        <w:wordWrap/>
        <w:overflowPunct/>
        <w:autoSpaceDE/>
        <w:autoSpaceDN/>
        <w:bidi w:val="0"/>
        <w:adjustRightInd/>
        <w:snapToGrid/>
        <w:spacing w:line="560" w:lineRule="exact"/>
        <w:ind w:firstLine="615"/>
        <w:jc w:val="both"/>
        <w:textAlignment w:val="auto"/>
        <w:rPr>
          <w:rFonts w:ascii="黑体" w:hAnsi="黑体" w:eastAsia="黑体" w:cs="黑体"/>
          <w:kern w:val="2"/>
        </w:rPr>
      </w:pPr>
      <w:r>
        <w:rPr>
          <w:rFonts w:hint="eastAsia" w:ascii="黑体" w:hAnsi="黑体" w:eastAsia="黑体" w:cs="黑体"/>
          <w:kern w:val="2"/>
        </w:rPr>
        <w:t>四、下一步工作要求</w:t>
      </w:r>
    </w:p>
    <w:p>
      <w:pPr>
        <w:keepNext w:val="0"/>
        <w:keepLines w:val="0"/>
        <w:pageBreakBefore w:val="0"/>
        <w:widowControl w:val="0"/>
        <w:kinsoku/>
        <w:wordWrap/>
        <w:overflowPunct/>
        <w:topLinePunct/>
        <w:bidi w:val="0"/>
        <w:snapToGrid/>
        <w:spacing w:line="560" w:lineRule="exact"/>
        <w:ind w:firstLine="641"/>
        <w:jc w:val="both"/>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一）压实建设单位履行项目建设阶段消防安全首要责任，加强对合同各方的责任约束，严格履行基本建设程序，认真组织开展消防验收，真实准确申报备案材料。建立消防验收交接制度，增强使用单位的消防安全意识，了解消防常识，做好日常消防设施器材的维护保养，确保功能正常发挥。</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（二）消防工程参建企业及中介机构要严格贯彻落实法律法规要求，执行强制性规定，不断提升技术水平，严格履行各自职责，杜绝出具虚假报告、假资料等现象，确保工程质量符合验收规范要求。</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（三）师市住建局将每月开展一次消防备案常态化抽检工作，重点加强对人员密集场所建设项目及验收整改工程项目抽查</w:t>
      </w:r>
      <w:r>
        <w:rPr>
          <w:rFonts w:hint="eastAsia" w:ascii="仿宋_GB2312" w:hAnsi="仿宋_GB2312" w:cs="仿宋_GB2312"/>
          <w:sz w:val="32"/>
          <w:szCs w:val="32"/>
          <w:lang w:val="en-US" w:eastAsia="zh-CN"/>
        </w:rPr>
        <w:t>，严格执法力度，不断规范行业行为。</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四）各责任单位立即逐条落实问题隐患整改，各团镇（乡）、街道办、经开区等属地须加强日常消防安全监管，并督促责任单位确保问题整改期间的消防安全措施到位，建设单位按行政执法整改通知书要求限期报师市住建局复查。</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p>
    <w:p>
      <w:pPr>
        <w:keepNext w:val="0"/>
        <w:keepLines w:val="0"/>
        <w:pageBreakBefore w:val="0"/>
        <w:widowControl w:val="0"/>
        <w:kinsoku/>
        <w:wordWrap/>
        <w:overflowPunct/>
        <w:topLinePunct/>
        <w:bidi w:val="0"/>
        <w:snapToGrid/>
        <w:spacing w:line="560" w:lineRule="exact"/>
        <w:ind w:left="1600" w:leftChars="200" w:hanging="960" w:hangingChars="300"/>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附件：师市2021年第一次建设工程消防验收备案抽查问题隐患清单</w:t>
      </w:r>
    </w:p>
    <w:p>
      <w:pPr>
        <w:keepNext w:val="0"/>
        <w:keepLines w:val="0"/>
        <w:pageBreakBefore w:val="0"/>
        <w:widowControl w:val="0"/>
        <w:kinsoku/>
        <w:wordWrap/>
        <w:overflowPunct/>
        <w:topLinePunct/>
        <w:bidi w:val="0"/>
        <w:snapToGrid/>
        <w:spacing w:line="560" w:lineRule="exact"/>
        <w:ind w:firstLine="641"/>
        <w:jc w:val="both"/>
        <w:textAlignment w:val="auto"/>
        <w:rPr>
          <w:rFonts w:hint="eastAsia" w:ascii="仿宋_GB2312" w:hAnsi="仿宋_GB2312" w:cs="仿宋_GB2312"/>
          <w:sz w:val="32"/>
          <w:szCs w:val="32"/>
          <w:lang w:val="en-US" w:eastAsia="zh-CN"/>
        </w:rPr>
      </w:pPr>
    </w:p>
    <w:p>
      <w:pPr>
        <w:keepNext w:val="0"/>
        <w:keepLines w:val="0"/>
        <w:pageBreakBefore w:val="0"/>
        <w:widowControl w:val="0"/>
        <w:kinsoku/>
        <w:wordWrap/>
        <w:overflowPunct/>
        <w:bidi w:val="0"/>
        <w:snapToGrid/>
        <w:spacing w:line="560" w:lineRule="exact"/>
        <w:ind w:left="4480" w:leftChars="900" w:hanging="1600" w:hangingChars="500"/>
        <w:textAlignment w:val="auto"/>
        <w:rPr>
          <w:rFonts w:hint="eastAsia" w:ascii="仿宋_GB2312" w:hAnsi="仿宋_GB2312" w:cs="仿宋_GB2312"/>
          <w:sz w:val="32"/>
          <w:szCs w:val="32"/>
          <w:lang w:val="en-US" w:eastAsia="zh-CN"/>
        </w:rPr>
      </w:pPr>
    </w:p>
    <w:p>
      <w:pPr>
        <w:keepNext w:val="0"/>
        <w:keepLines w:val="0"/>
        <w:pageBreakBefore w:val="0"/>
        <w:widowControl w:val="0"/>
        <w:kinsoku/>
        <w:wordWrap/>
        <w:overflowPunct/>
        <w:bidi w:val="0"/>
        <w:snapToGrid/>
        <w:spacing w:line="560" w:lineRule="exact"/>
        <w:ind w:left="4480" w:leftChars="900" w:hanging="1600" w:hangingChars="500"/>
        <w:textAlignment w:val="auto"/>
        <w:rPr>
          <w:rFonts w:hint="eastAsia" w:ascii="仿宋_GB2312" w:hAnsi="仿宋_GB2312" w:cs="仿宋_GB2312"/>
          <w:sz w:val="32"/>
          <w:szCs w:val="32"/>
        </w:rPr>
      </w:pPr>
      <w:r>
        <w:rPr>
          <w:rFonts w:hint="eastAsia" w:ascii="仿宋_GB2312" w:hAnsi="仿宋_GB2312" w:cs="仿宋_GB2312"/>
          <w:sz w:val="32"/>
          <w:szCs w:val="32"/>
          <w:lang w:val="en-US" w:eastAsia="zh-CN"/>
        </w:rPr>
        <w:t>第一师阿拉尔市住房和城乡建设局</w:t>
      </w:r>
      <w:r>
        <w:rPr>
          <w:rFonts w:hint="eastAsia" w:ascii="仿宋_GB2312" w:hAnsi="仿宋_GB2312" w:cs="仿宋_GB2312"/>
          <w:sz w:val="32"/>
          <w:szCs w:val="32"/>
        </w:rPr>
        <w:t xml:space="preserve">                           202</w:t>
      </w:r>
      <w:r>
        <w:rPr>
          <w:rFonts w:hint="eastAsia" w:ascii="仿宋_GB2312" w:hAnsi="仿宋_GB2312" w:cs="仿宋_GB2312"/>
          <w:sz w:val="32"/>
          <w:szCs w:val="32"/>
          <w:lang w:val="en-US" w:eastAsia="zh-CN"/>
        </w:rPr>
        <w:t>1</w:t>
      </w:r>
      <w:r>
        <w:rPr>
          <w:rFonts w:hint="eastAsia" w:ascii="仿宋_GB2312" w:hAnsi="仿宋_GB2312" w:cs="仿宋_GB2312"/>
          <w:sz w:val="32"/>
          <w:szCs w:val="32"/>
        </w:rPr>
        <w:t>年</w:t>
      </w:r>
      <w:r>
        <w:rPr>
          <w:rFonts w:hint="eastAsia" w:ascii="仿宋_GB2312" w:hAnsi="仿宋_GB2312" w:cs="仿宋_GB2312"/>
          <w:sz w:val="32"/>
          <w:szCs w:val="32"/>
          <w:lang w:val="en-US" w:eastAsia="zh-CN"/>
        </w:rPr>
        <w:t>2</w:t>
      </w:r>
      <w:r>
        <w:rPr>
          <w:rFonts w:hint="eastAsia" w:ascii="仿宋_GB2312" w:hAnsi="仿宋_GB2312" w:cs="仿宋_GB2312"/>
          <w:sz w:val="32"/>
          <w:szCs w:val="32"/>
        </w:rPr>
        <w:t>月</w:t>
      </w:r>
      <w:r>
        <w:rPr>
          <w:rFonts w:hint="eastAsia" w:ascii="仿宋_GB2312" w:hAnsi="仿宋_GB2312" w:cs="仿宋_GB2312"/>
          <w:sz w:val="32"/>
          <w:szCs w:val="32"/>
          <w:lang w:val="en-US" w:eastAsia="zh-CN"/>
        </w:rPr>
        <w:t>9</w:t>
      </w:r>
      <w:r>
        <w:rPr>
          <w:rFonts w:hint="eastAsia" w:ascii="仿宋_GB2312" w:hAnsi="仿宋_GB2312" w:cs="仿宋_GB2312"/>
          <w:sz w:val="32"/>
          <w:szCs w:val="32"/>
        </w:rPr>
        <w:t>日</w:t>
      </w:r>
    </w:p>
    <w:p>
      <w:pPr>
        <w:keepNext w:val="0"/>
        <w:keepLines w:val="0"/>
        <w:pageBreakBefore w:val="0"/>
        <w:widowControl w:val="0"/>
        <w:kinsoku/>
        <w:wordWrap/>
        <w:overflowPunct/>
        <w:bidi w:val="0"/>
        <w:snapToGrid/>
        <w:spacing w:line="560" w:lineRule="exact"/>
        <w:textAlignment w:val="auto"/>
        <w:rPr>
          <w:rFonts w:hint="eastAsia" w:ascii="仿宋_GB2312" w:hAnsi="仿宋_GB2312" w:cs="仿宋_GB2312"/>
          <w:sz w:val="32"/>
          <w:szCs w:val="32"/>
        </w:rPr>
      </w:pPr>
    </w:p>
    <w:p>
      <w:pPr>
        <w:keepNext w:val="0"/>
        <w:keepLines w:val="0"/>
        <w:pageBreakBefore w:val="0"/>
        <w:widowControl w:val="0"/>
        <w:kinsoku/>
        <w:wordWrap/>
        <w:overflowPunct/>
        <w:bidi w:val="0"/>
        <w:snapToGrid/>
        <w:spacing w:line="560" w:lineRule="exact"/>
        <w:textAlignment w:val="auto"/>
        <w:rPr>
          <w:rFonts w:hint="eastAsia" w:ascii="仿宋_GB2312" w:hAnsi="仿宋_GB2312" w:cs="仿宋_GB2312"/>
          <w:color w:val="000000"/>
          <w:sz w:val="30"/>
          <w:szCs w:val="30"/>
          <w:lang w:val="en-US" w:eastAsia="zh-CN"/>
        </w:rPr>
      </w:pPr>
      <w:r>
        <w:rPr>
          <w:rFonts w:hint="eastAsia" w:ascii="仿宋_GB2312" w:hAnsi="仿宋_GB2312" w:cs="仿宋_GB2312"/>
          <w:color w:val="000000"/>
          <w:sz w:val="30"/>
          <w:szCs w:val="30"/>
          <w:lang w:val="en-US" w:eastAsia="zh-CN"/>
        </w:rPr>
        <w:t>报</w:t>
      </w:r>
      <w:r>
        <w:rPr>
          <w:rFonts w:hint="eastAsia" w:ascii="仿宋_GB2312" w:hAnsi="仿宋_GB2312" w:eastAsia="仿宋_GB2312" w:cs="仿宋_GB2312"/>
          <w:color w:val="000000"/>
          <w:sz w:val="30"/>
          <w:szCs w:val="30"/>
        </w:rPr>
        <w:t>：</w:t>
      </w:r>
      <w:r>
        <w:rPr>
          <w:rFonts w:hint="eastAsia" w:ascii="仿宋_GB2312" w:hAnsi="仿宋_GB2312" w:cs="仿宋_GB2312"/>
          <w:color w:val="000000"/>
          <w:sz w:val="30"/>
          <w:szCs w:val="30"/>
          <w:lang w:val="en-US" w:eastAsia="zh-CN"/>
        </w:rPr>
        <w:t>马新平副师长；</w:t>
      </w:r>
    </w:p>
    <w:p>
      <w:pPr>
        <w:keepNext w:val="0"/>
        <w:keepLines w:val="0"/>
        <w:pageBreakBefore w:val="0"/>
        <w:widowControl w:val="0"/>
        <w:kinsoku/>
        <w:wordWrap/>
        <w:overflowPunct/>
        <w:bidi w:val="0"/>
        <w:snapToGrid/>
        <w:spacing w:line="560" w:lineRule="exact"/>
        <w:ind w:left="900" w:hanging="900" w:hangingChars="300"/>
        <w:textAlignment w:val="auto"/>
        <w:rPr>
          <w:rFonts w:hint="eastAsia" w:ascii="仿宋_GB2312" w:hAnsi="仿宋_GB2312" w:cs="仿宋_GB2312"/>
          <w:lang w:val="en-US" w:eastAsia="zh-CN"/>
        </w:rPr>
      </w:pPr>
      <w:r>
        <w:rPr>
          <w:rFonts w:hint="eastAsia" w:ascii="仿宋_GB2312" w:hAnsi="仿宋_GB2312" w:cs="仿宋_GB2312"/>
          <w:color w:val="000000"/>
          <w:sz w:val="30"/>
          <w:szCs w:val="30"/>
          <w:lang w:val="en-US" w:eastAsia="zh-CN"/>
        </w:rPr>
        <w:t>抄</w:t>
      </w:r>
      <w:bookmarkStart w:id="0" w:name="_GoBack"/>
      <w:bookmarkEnd w:id="0"/>
      <w:r>
        <w:rPr>
          <w:rFonts w:hint="eastAsia" w:ascii="仿宋_GB2312" w:hAnsi="仿宋_GB2312" w:cs="仿宋_GB2312"/>
          <w:color w:val="000000"/>
          <w:sz w:val="30"/>
          <w:szCs w:val="30"/>
          <w:lang w:val="en-US" w:eastAsia="zh-CN"/>
        </w:rPr>
        <w:t>：</w:t>
      </w:r>
      <w:r>
        <w:rPr>
          <w:rFonts w:hint="eastAsia" w:ascii="仿宋_GB2312" w:hAnsi="仿宋_GB2312" w:eastAsia="仿宋_GB2312" w:cs="仿宋_GB2312"/>
          <w:color w:val="000000"/>
          <w:sz w:val="30"/>
          <w:szCs w:val="30"/>
          <w:lang w:eastAsia="zh-CN"/>
        </w:rPr>
        <w:t>各团镇（乡），</w:t>
      </w:r>
      <w:r>
        <w:rPr>
          <w:rFonts w:hint="eastAsia" w:ascii="仿宋_GB2312" w:hAnsi="宋体" w:cs="宋体"/>
          <w:sz w:val="30"/>
          <w:szCs w:val="30"/>
          <w:lang w:val="en-US" w:eastAsia="zh-CN"/>
        </w:rPr>
        <w:t>经开区，</w:t>
      </w:r>
      <w:r>
        <w:rPr>
          <w:rFonts w:hint="eastAsia" w:ascii="仿宋_GB2312" w:hAnsi="仿宋_GB2312" w:cs="仿宋_GB2312"/>
          <w:color w:val="000000"/>
          <w:sz w:val="30"/>
          <w:szCs w:val="30"/>
          <w:lang w:val="en-US" w:eastAsia="zh-CN"/>
        </w:rPr>
        <w:t>师市应急管理局、公安局、教育局、卫健委；公共资源</w:t>
      </w:r>
      <w:r>
        <w:rPr>
          <w:rFonts w:hint="eastAsia" w:ascii="仿宋_GB2312" w:hAnsi="宋体" w:cs="宋体"/>
          <w:sz w:val="30"/>
          <w:szCs w:val="30"/>
          <w:lang w:val="en-US" w:eastAsia="zh-CN"/>
        </w:rPr>
        <w:t>交易中心，</w:t>
      </w:r>
      <w:r>
        <w:rPr>
          <w:rFonts w:hint="eastAsia" w:ascii="仿宋_GB2312" w:hAnsi="宋体" w:eastAsia="仿宋_GB2312" w:cs="宋体"/>
          <w:sz w:val="30"/>
          <w:szCs w:val="30"/>
          <w:lang w:val="en-US" w:eastAsia="zh-CN"/>
        </w:rPr>
        <w:t>街道办</w:t>
      </w:r>
      <w:r>
        <w:rPr>
          <w:rFonts w:hint="eastAsia" w:ascii="仿宋_GB2312" w:hAnsi="宋体" w:cs="宋体"/>
          <w:sz w:val="30"/>
          <w:szCs w:val="30"/>
          <w:lang w:val="en-US" w:eastAsia="zh-CN"/>
        </w:rPr>
        <w:t>，城投公司。</w:t>
      </w:r>
    </w:p>
    <w:p>
      <w:pPr>
        <w:spacing w:line="580" w:lineRule="exact"/>
        <w:rPr>
          <w:rFonts w:hint="eastAsia" w:ascii="仿宋_GB2312" w:hAnsi="仿宋_GB2312" w:cs="仿宋_GB2312"/>
          <w:lang w:val="en-US" w:eastAsia="zh-CN"/>
        </w:rPr>
      </w:pPr>
      <w:r>
        <w:rPr>
          <w:rFonts w:hint="eastAsia" w:ascii="仿宋_GB2312" w:hAnsi="仿宋_GB2312" w:cs="仿宋_GB2312"/>
          <w:lang w:val="en-US" w:eastAsia="zh-CN"/>
        </w:rPr>
        <w:t>附件：</w:t>
      </w:r>
    </w:p>
    <w:p>
      <w:pPr>
        <w:spacing w:line="580" w:lineRule="exact"/>
        <w:jc w:val="center"/>
        <w:rPr>
          <w:rFonts w:hint="eastAsia" w:ascii="仿宋_GB2312" w:hAnsi="仿宋_GB2312" w:cs="仿宋_GB2312"/>
        </w:rPr>
      </w:pPr>
      <w:r>
        <w:rPr>
          <w:rFonts w:hint="eastAsia" w:ascii="方正小标宋简体" w:hAnsi="方正小标宋简体" w:eastAsia="方正小标宋简体"/>
          <w:sz w:val="44"/>
        </w:rPr>
        <w:t>师市</w:t>
      </w:r>
      <w:r>
        <w:rPr>
          <w:rFonts w:hint="eastAsia" w:ascii="方正小标宋简体" w:hAnsi="方正小标宋简体" w:eastAsia="方正小标宋简体"/>
          <w:sz w:val="44"/>
          <w:lang w:val="en-US" w:eastAsia="zh-CN"/>
        </w:rPr>
        <w:t>2021年第一次建设工程消防验收备案抽查问题隐患清单</w:t>
      </w:r>
    </w:p>
    <w:tbl>
      <w:tblPr>
        <w:tblStyle w:val="5"/>
        <w:tblW w:w="86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500"/>
        <w:gridCol w:w="5081"/>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序号</w:t>
            </w:r>
          </w:p>
        </w:tc>
        <w:tc>
          <w:tcPr>
            <w:tcW w:w="1500"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项目名称</w:t>
            </w:r>
          </w:p>
        </w:tc>
        <w:tc>
          <w:tcPr>
            <w:tcW w:w="5081"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仿宋_GB2312" w:hAnsi="仿宋_GB2312" w:eastAsia="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存在的主要问题</w:t>
            </w:r>
          </w:p>
        </w:tc>
        <w:tc>
          <w:tcPr>
            <w:tcW w:w="1480"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default" w:ascii="仿宋_GB2312" w:hAnsi="仿宋_GB2312" w:cs="仿宋_GB2312"/>
                <w:sz w:val="28"/>
                <w:szCs w:val="28"/>
                <w:vertAlign w:val="baseline"/>
                <w:lang w:val="en-US" w:eastAsia="zh-CN"/>
              </w:rPr>
            </w:pPr>
            <w:r>
              <w:rPr>
                <w:rFonts w:hint="eastAsia" w:ascii="仿宋_GB2312" w:hAnsi="仿宋_GB2312" w:cs="仿宋_GB2312"/>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500" w:type="dxa"/>
            <w:vAlign w:val="top"/>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rPr>
              <w:t>阿拉尔经济技术开发区邻里中心一标段</w:t>
            </w:r>
          </w:p>
        </w:tc>
        <w:tc>
          <w:tcPr>
            <w:tcW w:w="5081" w:type="dxa"/>
            <w:vAlign w:val="top"/>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rPr>
              <w:t>1.备案图纸内容与消防设计审查意见不一致，建设单位提供资料不真实。2.室内消火栓系统未做分段控制。3.室外消火栓井无支墩、部分未拆模未验收，井盖质量不达标。4.消防水压不够，消火栓系统功能无法正常发挥。5.消防通道不畅通，未形成环状布置，且局部不满足消防车拐弯半径要求。6.当烟垂壁漏做。</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整改完毕，建设单位重新组织消防验收备案。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1500" w:type="dxa"/>
            <w:vAlign w:val="top"/>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rPr>
              <w:t>阿拉尔金色家园二期</w:t>
            </w:r>
          </w:p>
        </w:tc>
        <w:tc>
          <w:tcPr>
            <w:tcW w:w="5081" w:type="dxa"/>
            <w:vAlign w:val="top"/>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rPr>
              <w:t>1.室外消防栓安装高度不符合规范要求、标识未做。2.消防联动未通电，功能无法发挥。3.高位水箱间未做保温，水箱无水，无法发挥使用功能。4.消防供水系统无水，无法进行测试。</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20" w:lineRule="exact"/>
              <w:jc w:val="both"/>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整改完毕，建设单位重新组织消防验收备案。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1500" w:type="dxa"/>
            <w:vAlign w:val="top"/>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阿拉尔市塔河明珠</w:t>
            </w:r>
            <w:r>
              <w:rPr>
                <w:rFonts w:hint="eastAsia" w:ascii="宋体" w:hAnsi="宋体" w:eastAsia="宋体" w:cs="宋体"/>
                <w:spacing w:val="-6"/>
                <w:sz w:val="24"/>
                <w:szCs w:val="24"/>
                <w:lang w:val="en-US" w:eastAsia="zh-CN"/>
              </w:rPr>
              <w:t>·华府一期</w:t>
            </w:r>
          </w:p>
        </w:tc>
        <w:tc>
          <w:tcPr>
            <w:tcW w:w="5081" w:type="dxa"/>
            <w:vAlign w:val="top"/>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1.无消防水池，消火栓系统功能无法正常发挥。2.室外消火栓部分标高不符合要求。3.消防标识标线施划不到位。4.一期消防水池未建，北侧消防供水未做。5.建设单位组织的消防验收备案与现场不符。</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限期整改完毕，报复查。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150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十团中学民族食堂建设项目</w:t>
            </w:r>
          </w:p>
        </w:tc>
        <w:tc>
          <w:tcPr>
            <w:tcW w:w="5081"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1.食堂出口缺少消防指示牌。2.消火栓进水管阀门不符合设计要求。3.防火门无标示牌，门槛内未灌浆密实。4.电气图与建筑图在出口处设计不相符，造成消防指示系统未设计。</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限期整改完毕，回执报住建局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150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阿拉尔市丽贤商务宾馆消防工程</w:t>
            </w:r>
          </w:p>
        </w:tc>
        <w:tc>
          <w:tcPr>
            <w:tcW w:w="5081" w:type="dxa"/>
          </w:tcPr>
          <w:p>
            <w:pPr>
              <w:keepNext w:val="0"/>
              <w:keepLines w:val="0"/>
              <w:pageBreakBefore w:val="0"/>
              <w:widowControl w:val="0"/>
              <w:kinsoku/>
              <w:wordWrap/>
              <w:overflowPunct/>
              <w:topLinePunct w:val="0"/>
              <w:autoSpaceDE w:val="0"/>
              <w:autoSpaceDN w:val="0"/>
              <w:bidi w:val="0"/>
              <w:adjustRightInd w:val="0"/>
              <w:snapToGrid/>
              <w:spacing w:line="32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1.应急照明灯与设计不相符。2.消防系统未进行调试，未经检测合格。3.消防救援窗未按图施工。4.消火栓系统无水无法测试，不能满足正常使用功能。</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未验收合格不得营业，限期整改完毕，报复查。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150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阿拉尔瀚博教育股份有限公司消防改造</w:t>
            </w:r>
          </w:p>
        </w:tc>
        <w:tc>
          <w:tcPr>
            <w:tcW w:w="5081"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1.消防系统未与该小区总控联动，功能无法发挥。2.喷淋管支管及喷头数量不符合设计要求。3.所有线路未按要求穿管，部分已穿管非防火材料。4.应急指示灯设置数量不够 。5.与隔壁保险公司之间的门未安装防火门。6.设计图不符合要求，未开展消防自审，图纸模糊不清，设计单位重新出图。7.申报备案资料与现场不相符，要求重新组织验收，重新备案。</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问题整改完毕，重新组织消防验收，重新备案。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vAlign w:val="top"/>
          </w:tcPr>
          <w:p>
            <w:pPr>
              <w:keepNext w:val="0"/>
              <w:keepLines w:val="0"/>
              <w:pageBreakBefore w:val="0"/>
              <w:widowControl w:val="0"/>
              <w:kinsoku/>
              <w:wordWrap/>
              <w:overflowPunct/>
              <w:topLinePunct w:val="0"/>
              <w:autoSpaceDE w:val="0"/>
              <w:autoSpaceDN w:val="0"/>
              <w:bidi w:val="0"/>
              <w:adjustRightInd w:val="0"/>
              <w:snapToGrid/>
              <w:spacing w:line="300" w:lineRule="exact"/>
              <w:jc w:val="both"/>
              <w:textAlignment w:val="auto"/>
              <w:rPr>
                <w:rFonts w:hint="eastAsia" w:ascii="仿宋_GB2312" w:hAnsi="仿宋_GB2312" w:eastAsia="仿宋_GB2312" w:cs="仿宋_GB2312"/>
                <w:sz w:val="28"/>
                <w:szCs w:val="28"/>
                <w:vertAlign w:val="baseline"/>
                <w:lang w:val="en-US" w:eastAsia="zh-CN" w:bidi="ar-SA"/>
              </w:rPr>
            </w:pPr>
            <w:r>
              <w:rPr>
                <w:rFonts w:hint="eastAsia" w:ascii="仿宋_GB2312" w:hAnsi="仿宋_GB2312" w:cs="仿宋_GB2312"/>
                <w:sz w:val="28"/>
                <w:szCs w:val="28"/>
                <w:vertAlign w:val="baseline"/>
                <w:lang w:val="en-US" w:eastAsia="zh-CN"/>
              </w:rPr>
              <w:t>序号</w:t>
            </w:r>
          </w:p>
        </w:tc>
        <w:tc>
          <w:tcPr>
            <w:tcW w:w="1500"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仿宋_GB2312" w:hAnsi="仿宋_GB2312" w:eastAsia="仿宋_GB2312" w:cs="仿宋_GB2312"/>
                <w:sz w:val="28"/>
                <w:szCs w:val="28"/>
                <w:vertAlign w:val="baseline"/>
                <w:lang w:val="en-US" w:eastAsia="zh-CN" w:bidi="ar-SA"/>
              </w:rPr>
            </w:pPr>
            <w:r>
              <w:rPr>
                <w:rFonts w:hint="eastAsia" w:ascii="仿宋_GB2312" w:hAnsi="仿宋_GB2312" w:cs="仿宋_GB2312"/>
                <w:sz w:val="28"/>
                <w:szCs w:val="28"/>
                <w:vertAlign w:val="baseline"/>
                <w:lang w:val="en-US" w:eastAsia="zh-CN"/>
              </w:rPr>
              <w:t>项目名称</w:t>
            </w:r>
          </w:p>
        </w:tc>
        <w:tc>
          <w:tcPr>
            <w:tcW w:w="5081"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仿宋_GB2312" w:hAnsi="仿宋_GB2312" w:eastAsia="仿宋_GB2312" w:cs="仿宋_GB2312"/>
                <w:sz w:val="28"/>
                <w:szCs w:val="28"/>
                <w:vertAlign w:val="baseline"/>
                <w:lang w:val="en-US" w:eastAsia="zh-CN" w:bidi="ar-SA"/>
              </w:rPr>
            </w:pPr>
            <w:r>
              <w:rPr>
                <w:rFonts w:hint="eastAsia" w:ascii="仿宋_GB2312" w:hAnsi="仿宋_GB2312" w:cs="仿宋_GB2312"/>
                <w:sz w:val="28"/>
                <w:szCs w:val="28"/>
                <w:vertAlign w:val="baseline"/>
                <w:lang w:val="en-US" w:eastAsia="zh-CN"/>
              </w:rPr>
              <w:t>存在的主要问题</w:t>
            </w:r>
          </w:p>
        </w:tc>
        <w:tc>
          <w:tcPr>
            <w:tcW w:w="1480" w:type="dxa"/>
            <w:vAlign w:val="center"/>
          </w:tcPr>
          <w:p>
            <w:pPr>
              <w:keepNext w:val="0"/>
              <w:keepLines w:val="0"/>
              <w:pageBreakBefore w:val="0"/>
              <w:widowControl w:val="0"/>
              <w:kinsoku/>
              <w:wordWrap/>
              <w:overflowPunct/>
              <w:topLinePunct w:val="0"/>
              <w:autoSpaceDE w:val="0"/>
              <w:autoSpaceDN w:val="0"/>
              <w:bidi w:val="0"/>
              <w:adjustRightInd w:val="0"/>
              <w:snapToGrid/>
              <w:spacing w:line="300" w:lineRule="exact"/>
              <w:jc w:val="center"/>
              <w:textAlignment w:val="auto"/>
              <w:rPr>
                <w:rFonts w:hint="eastAsia" w:ascii="仿宋_GB2312" w:hAnsi="仿宋_GB2312" w:eastAsia="仿宋_GB2312" w:cs="仿宋_GB2312"/>
                <w:sz w:val="28"/>
                <w:szCs w:val="28"/>
                <w:vertAlign w:val="baseline"/>
                <w:lang w:val="en-US" w:eastAsia="zh-CN" w:bidi="ar-SA"/>
              </w:rPr>
            </w:pPr>
            <w:r>
              <w:rPr>
                <w:rFonts w:hint="eastAsia" w:ascii="仿宋_GB2312" w:hAnsi="仿宋_GB2312" w:cs="仿宋_GB2312"/>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7</w:t>
            </w:r>
          </w:p>
        </w:tc>
        <w:tc>
          <w:tcPr>
            <w:tcW w:w="150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阿拉尔爱德文化艺术培训公司消防改造</w:t>
            </w:r>
          </w:p>
        </w:tc>
        <w:tc>
          <w:tcPr>
            <w:tcW w:w="5081"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1.烟感、报警系统缺失。2.走廊宽度与设计不符。3.应急照明灯缺失1个。4.疏散通道未形成环状布置，与设计不符。5.消防系统未与整个建筑物联动，功能无法发挥</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限期整改完毕，报复查。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150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饫优文化传媒有限公司消防改造</w:t>
            </w:r>
          </w:p>
        </w:tc>
        <w:tc>
          <w:tcPr>
            <w:tcW w:w="5081"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1.走道消防应急灯缺2个。2.培训教室喷淋数量不够。3.应急指示灯线未穿管。4.消火栓箱内无警报按钮，消防广播未安装。5.消防救援窗不符合要求。6.消防联动须和物业沟通，与小区联动，确保功能正常发挥。</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限期整改完毕，报复查。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9</w:t>
            </w:r>
          </w:p>
        </w:tc>
        <w:tc>
          <w:tcPr>
            <w:tcW w:w="150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阿拉尔市爱乐琴行消防改造</w:t>
            </w:r>
          </w:p>
        </w:tc>
        <w:tc>
          <w:tcPr>
            <w:tcW w:w="5081"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1.消防系统须与整个建筑联动，确保功能正常发挥。2.走道宽度与设计不符。3.有1处应急照明灯损坏。4.进口处防火门未安装。5.消防报警按钮装修被遮挡。</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限期整改完毕，报复查。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1500"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auto"/>
              <w:rPr>
                <w:rFonts w:hint="eastAsia" w:ascii="宋体" w:hAnsi="宋体" w:eastAsia="宋体" w:cs="宋体"/>
                <w:i w:val="0"/>
                <w:color w:val="000000"/>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第一师八团新建年产1.5万吨皂角加工生产线建设项目</w:t>
            </w:r>
          </w:p>
        </w:tc>
        <w:tc>
          <w:tcPr>
            <w:tcW w:w="508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i w:val="0"/>
                <w:color w:val="000000"/>
                <w:sz w:val="24"/>
                <w:szCs w:val="24"/>
                <w:u w:val="none"/>
                <w:lang w:val="en-US" w:eastAsia="zh-CN" w:bidi="ar-SA"/>
              </w:rPr>
            </w:pPr>
            <w:r>
              <w:rPr>
                <w:rFonts w:hint="eastAsia" w:ascii="宋体" w:hAnsi="宋体" w:eastAsia="宋体" w:cs="宋体"/>
                <w:i w:val="0"/>
                <w:color w:val="000000"/>
                <w:sz w:val="24"/>
                <w:szCs w:val="24"/>
                <w:u w:val="none"/>
                <w:lang w:val="en-US" w:eastAsia="zh-CN" w:bidi="ar-SA"/>
              </w:rPr>
              <w:t>——</w:t>
            </w:r>
          </w:p>
        </w:tc>
        <w:tc>
          <w:tcPr>
            <w:tcW w:w="1480" w:type="dxa"/>
          </w:tcPr>
          <w:p>
            <w:pPr>
              <w:keepNext w:val="0"/>
              <w:keepLines w:val="0"/>
              <w:pageBreakBefore w:val="0"/>
              <w:widowControl w:val="0"/>
              <w:kinsoku/>
              <w:wordWrap/>
              <w:overflowPunct/>
              <w:topLinePunct w:val="0"/>
              <w:autoSpaceDE w:val="0"/>
              <w:autoSpaceDN w:val="0"/>
              <w:bidi w:val="0"/>
              <w:adjustRightInd w:val="0"/>
              <w:snapToGrid/>
              <w:spacing w:line="360" w:lineRule="exact"/>
              <w:jc w:val="both"/>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因停产停业，厂区无人值守，待开门后继续开展抽查工作。</w:t>
            </w:r>
          </w:p>
        </w:tc>
      </w:tr>
    </w:tbl>
    <w:p>
      <w:pPr>
        <w:spacing w:line="580" w:lineRule="exact"/>
        <w:ind w:firstLine="615"/>
        <w:rPr>
          <w:rFonts w:hint="eastAsia" w:ascii="仿宋_GB2312" w:hAnsi="仿宋_GB2312" w:cs="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大标宋简体">
    <w:altName w:val="宋体"/>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5E1"/>
    <w:rsid w:val="00007AB0"/>
    <w:rsid w:val="000312CD"/>
    <w:rsid w:val="00080C61"/>
    <w:rsid w:val="000F1300"/>
    <w:rsid w:val="000F4614"/>
    <w:rsid w:val="00113B7B"/>
    <w:rsid w:val="0012013B"/>
    <w:rsid w:val="00155B5C"/>
    <w:rsid w:val="00165482"/>
    <w:rsid w:val="001739CE"/>
    <w:rsid w:val="00186EEC"/>
    <w:rsid w:val="001C066E"/>
    <w:rsid w:val="00243E2E"/>
    <w:rsid w:val="00256A03"/>
    <w:rsid w:val="002A635D"/>
    <w:rsid w:val="00300F63"/>
    <w:rsid w:val="0033665F"/>
    <w:rsid w:val="00363F67"/>
    <w:rsid w:val="003653EF"/>
    <w:rsid w:val="003B02A6"/>
    <w:rsid w:val="003D093A"/>
    <w:rsid w:val="003E6D62"/>
    <w:rsid w:val="00423599"/>
    <w:rsid w:val="0048082A"/>
    <w:rsid w:val="00531F30"/>
    <w:rsid w:val="0053493E"/>
    <w:rsid w:val="005641FB"/>
    <w:rsid w:val="005707E7"/>
    <w:rsid w:val="00590E3E"/>
    <w:rsid w:val="005C1030"/>
    <w:rsid w:val="005F0718"/>
    <w:rsid w:val="00617B36"/>
    <w:rsid w:val="006534AC"/>
    <w:rsid w:val="00654F91"/>
    <w:rsid w:val="006842E0"/>
    <w:rsid w:val="006B4F58"/>
    <w:rsid w:val="006F5AE7"/>
    <w:rsid w:val="00703B26"/>
    <w:rsid w:val="007233A3"/>
    <w:rsid w:val="0083524F"/>
    <w:rsid w:val="008D25F2"/>
    <w:rsid w:val="008E759F"/>
    <w:rsid w:val="00911CFE"/>
    <w:rsid w:val="00927B87"/>
    <w:rsid w:val="009327C3"/>
    <w:rsid w:val="0095544F"/>
    <w:rsid w:val="009879A9"/>
    <w:rsid w:val="00A36BF9"/>
    <w:rsid w:val="00A4316C"/>
    <w:rsid w:val="00A46D85"/>
    <w:rsid w:val="00AA25CA"/>
    <w:rsid w:val="00AD1CBF"/>
    <w:rsid w:val="00AE55B6"/>
    <w:rsid w:val="00B13371"/>
    <w:rsid w:val="00B135E1"/>
    <w:rsid w:val="00B24258"/>
    <w:rsid w:val="00B25005"/>
    <w:rsid w:val="00BF23E6"/>
    <w:rsid w:val="00C40D5A"/>
    <w:rsid w:val="00C55E71"/>
    <w:rsid w:val="00C73E3A"/>
    <w:rsid w:val="00C775DB"/>
    <w:rsid w:val="00CF209D"/>
    <w:rsid w:val="00D46A34"/>
    <w:rsid w:val="00D73CA2"/>
    <w:rsid w:val="00D80A1F"/>
    <w:rsid w:val="00D83181"/>
    <w:rsid w:val="00DA35BC"/>
    <w:rsid w:val="00DE0EFD"/>
    <w:rsid w:val="00E00B1D"/>
    <w:rsid w:val="00E33DD3"/>
    <w:rsid w:val="00E33E4C"/>
    <w:rsid w:val="00E623C5"/>
    <w:rsid w:val="00E837E0"/>
    <w:rsid w:val="00EC1D5B"/>
    <w:rsid w:val="00F32EF2"/>
    <w:rsid w:val="00F5499B"/>
    <w:rsid w:val="00F81436"/>
    <w:rsid w:val="00F81A52"/>
    <w:rsid w:val="00FF5956"/>
    <w:rsid w:val="06003189"/>
    <w:rsid w:val="074E4BE1"/>
    <w:rsid w:val="08321551"/>
    <w:rsid w:val="091E7BEC"/>
    <w:rsid w:val="09AF6751"/>
    <w:rsid w:val="0DB37A8C"/>
    <w:rsid w:val="0E670E2E"/>
    <w:rsid w:val="0F850A3F"/>
    <w:rsid w:val="11745F37"/>
    <w:rsid w:val="135F2268"/>
    <w:rsid w:val="19B3723C"/>
    <w:rsid w:val="19E82DC6"/>
    <w:rsid w:val="1A6A0671"/>
    <w:rsid w:val="1C6A5225"/>
    <w:rsid w:val="1ED664AB"/>
    <w:rsid w:val="1FA32DAE"/>
    <w:rsid w:val="20097C06"/>
    <w:rsid w:val="21D80D74"/>
    <w:rsid w:val="21F74575"/>
    <w:rsid w:val="2212041B"/>
    <w:rsid w:val="236C5EB9"/>
    <w:rsid w:val="24404C8B"/>
    <w:rsid w:val="24591A5E"/>
    <w:rsid w:val="25007421"/>
    <w:rsid w:val="2562463C"/>
    <w:rsid w:val="274660AC"/>
    <w:rsid w:val="27663289"/>
    <w:rsid w:val="287A14E3"/>
    <w:rsid w:val="298F60EA"/>
    <w:rsid w:val="2A1A70B8"/>
    <w:rsid w:val="2B1414BD"/>
    <w:rsid w:val="2D0226DC"/>
    <w:rsid w:val="2D5944E6"/>
    <w:rsid w:val="31804416"/>
    <w:rsid w:val="328B2D7D"/>
    <w:rsid w:val="33B1326B"/>
    <w:rsid w:val="3500531D"/>
    <w:rsid w:val="35290B88"/>
    <w:rsid w:val="35C47D92"/>
    <w:rsid w:val="37130106"/>
    <w:rsid w:val="377E572B"/>
    <w:rsid w:val="37E05743"/>
    <w:rsid w:val="39222B3C"/>
    <w:rsid w:val="3A0A4299"/>
    <w:rsid w:val="3A371465"/>
    <w:rsid w:val="3A9130CF"/>
    <w:rsid w:val="3DBF0679"/>
    <w:rsid w:val="3DD0737E"/>
    <w:rsid w:val="3FCC2E5B"/>
    <w:rsid w:val="4BA70078"/>
    <w:rsid w:val="527D070C"/>
    <w:rsid w:val="555E5E5C"/>
    <w:rsid w:val="55E47E55"/>
    <w:rsid w:val="57374839"/>
    <w:rsid w:val="58F77FFB"/>
    <w:rsid w:val="59673506"/>
    <w:rsid w:val="596E3C81"/>
    <w:rsid w:val="5B4828DD"/>
    <w:rsid w:val="5B85160A"/>
    <w:rsid w:val="5F204903"/>
    <w:rsid w:val="616F6718"/>
    <w:rsid w:val="644479FF"/>
    <w:rsid w:val="68463213"/>
    <w:rsid w:val="68FA1E35"/>
    <w:rsid w:val="6A13327A"/>
    <w:rsid w:val="6D746977"/>
    <w:rsid w:val="77C43BA2"/>
    <w:rsid w:val="7B4F5E15"/>
    <w:rsid w:val="7DA052B4"/>
    <w:rsid w:val="7E3247AF"/>
    <w:rsid w:val="7F327C8D"/>
    <w:rsid w:val="7FC33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Times New Roman" w:hAnsi="Times New Roman" w:eastAsia="仿宋_GB2312" w:cs="Times New Roman"/>
      <w:sz w:val="32"/>
      <w:szCs w:val="3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unhideWhenUsed/>
    <w:qFormat/>
    <w:uiPriority w:val="99"/>
    <w:pPr>
      <w:ind w:left="2448"/>
    </w:pPr>
    <w:rPr>
      <w:rFonts w:asciiTheme="minorHAnsi" w:hAnsiTheme="minorHAnsi" w:eastAsiaTheme="minorEastAsia" w:cstheme="minorBidi"/>
      <w:kern w:val="2"/>
      <w:sz w:val="21"/>
      <w:szCs w:val="22"/>
    </w:rPr>
  </w:style>
  <w:style w:type="paragraph" w:styleId="3">
    <w:name w:val="Balloon Text"/>
    <w:basedOn w:val="1"/>
    <w:link w:val="11"/>
    <w:semiHidden/>
    <w:unhideWhenUsed/>
    <w:qFormat/>
    <w:uiPriority w:val="99"/>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正文文本 Char"/>
    <w:basedOn w:val="6"/>
    <w:link w:val="2"/>
    <w:unhideWhenUsed/>
    <w:qFormat/>
    <w:locked/>
    <w:uiPriority w:val="99"/>
  </w:style>
  <w:style w:type="character" w:customStyle="1" w:styleId="8">
    <w:name w:val="正文文本 Char1"/>
    <w:basedOn w:val="6"/>
    <w:semiHidden/>
    <w:qFormat/>
    <w:uiPriority w:val="99"/>
    <w:rPr>
      <w:rFonts w:ascii="Times New Roman" w:hAnsi="Times New Roman" w:eastAsia="仿宋_GB2312" w:cs="Times New Roman"/>
      <w:kern w:val="0"/>
      <w:sz w:val="32"/>
      <w:szCs w:val="32"/>
    </w:rPr>
  </w:style>
  <w:style w:type="paragraph" w:styleId="9">
    <w:name w:val="List Paragraph"/>
    <w:basedOn w:val="1"/>
    <w:qFormat/>
    <w:uiPriority w:val="34"/>
    <w:pPr>
      <w:ind w:firstLine="420" w:firstLineChars="200"/>
    </w:pPr>
  </w:style>
  <w:style w:type="paragraph" w:customStyle="1" w:styleId="10">
    <w:name w:val="标题 11"/>
    <w:basedOn w:val="1"/>
    <w:qFormat/>
    <w:uiPriority w:val="1"/>
    <w:pPr>
      <w:spacing w:before="16"/>
      <w:ind w:left="190"/>
      <w:outlineLvl w:val="0"/>
    </w:pPr>
    <w:rPr>
      <w:rFonts w:ascii="宋体" w:eastAsia="宋体" w:cs="宋体"/>
      <w:sz w:val="42"/>
      <w:szCs w:val="42"/>
    </w:rPr>
  </w:style>
  <w:style w:type="character" w:customStyle="1" w:styleId="11">
    <w:name w:val="批注框文本 Char"/>
    <w:basedOn w:val="6"/>
    <w:link w:val="3"/>
    <w:semiHidden/>
    <w:qFormat/>
    <w:uiPriority w:val="99"/>
    <w:rPr>
      <w:rFonts w:ascii="Times New Roman" w:hAnsi="Times New Roman" w:eastAsia="仿宋_GB2312" w:cs="Times New Roman"/>
      <w:kern w:val="0"/>
      <w:sz w:val="18"/>
      <w:szCs w:val="18"/>
    </w:rPr>
  </w:style>
  <w:style w:type="paragraph" w:customStyle="1" w:styleId="12">
    <w:name w:val="p0"/>
    <w:basedOn w:val="1"/>
    <w:qFormat/>
    <w:uiPriority w:val="0"/>
    <w:pPr>
      <w:widowControl/>
      <w:autoSpaceDE/>
      <w:autoSpaceDN/>
      <w:adjustRightInd/>
      <w:spacing w:before="100" w:beforeAutospacing="1" w:after="100" w:afterAutospacing="1"/>
    </w:pPr>
    <w:rPr>
      <w:rFonts w:ascii="宋体" w:hAnsi="宋体" w:eastAsia="宋体" w:cs="宋体"/>
      <w:color w:val="FF0072"/>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246</Words>
  <Characters>1407</Characters>
  <Lines>11</Lines>
  <Paragraphs>3</Paragraphs>
  <TotalTime>8</TotalTime>
  <ScaleCrop>false</ScaleCrop>
  <LinksUpToDate>false</LinksUpToDate>
  <CharactersWithSpaces>1650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2020-04-09T03:40:00Z</dcterms:created>
  <dc:creator>xb21cn</dc:creator>
  <cp:lastModifiedBy>Administrator</cp:lastModifiedBy>
  <cp:lastPrinted>2021-02-09T03:33:00Z</cp:lastPrinted>
  <dcterms:modified xsi:type="dcterms:W3CDTF">2021-02-09T08:04:33Z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