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28A79">
      <w:pPr>
        <w:spacing w:line="560" w:lineRule="exact"/>
        <w:rPr>
          <w:sz w:val="44"/>
          <w:szCs w:val="44"/>
        </w:rPr>
      </w:pPr>
    </w:p>
    <w:p w14:paraId="342D99A7">
      <w:pPr>
        <w:spacing w:line="560" w:lineRule="exact"/>
        <w:rPr>
          <w:sz w:val="44"/>
          <w:szCs w:val="44"/>
        </w:rPr>
      </w:pPr>
    </w:p>
    <w:p w14:paraId="6DABFEED">
      <w:pPr>
        <w:spacing w:line="560" w:lineRule="exact"/>
        <w:rPr>
          <w:sz w:val="44"/>
          <w:szCs w:val="44"/>
        </w:rPr>
      </w:pPr>
    </w:p>
    <w:p w14:paraId="73CAF35A">
      <w:pPr>
        <w:spacing w:line="560" w:lineRule="exact"/>
        <w:rPr>
          <w:sz w:val="44"/>
          <w:szCs w:val="44"/>
        </w:rPr>
      </w:pPr>
    </w:p>
    <w:p w14:paraId="7CF66D77">
      <w:pPr>
        <w:spacing w:line="560" w:lineRule="exact"/>
        <w:rPr>
          <w:sz w:val="72"/>
          <w:szCs w:val="72"/>
        </w:rPr>
      </w:pPr>
    </w:p>
    <w:p w14:paraId="55814E55">
      <w:pPr>
        <w:spacing w:line="560" w:lineRule="exact"/>
        <w:rPr>
          <w:rFonts w:eastAsia="仿宋_GB2312"/>
          <w:sz w:val="32"/>
          <w:szCs w:val="32"/>
        </w:rPr>
      </w:pPr>
    </w:p>
    <w:p w14:paraId="6263177C">
      <w:pPr>
        <w:spacing w:line="560" w:lineRule="exact"/>
        <w:rPr>
          <w:rFonts w:eastAsia="仿宋_GB2312"/>
          <w:sz w:val="32"/>
          <w:szCs w:val="32"/>
        </w:rPr>
      </w:pPr>
    </w:p>
    <w:p w14:paraId="48F12E14">
      <w:pPr>
        <w:spacing w:line="560" w:lineRule="exact"/>
        <w:jc w:val="center"/>
        <w:rPr>
          <w:sz w:val="32"/>
          <w:szCs w:val="32"/>
        </w:rPr>
      </w:pPr>
      <w:r>
        <w:rPr>
          <w:rFonts w:eastAsia="方正仿宋_GB2312"/>
          <w:sz w:val="32"/>
          <w:szCs w:val="32"/>
        </w:rPr>
        <w:t>师市环审〔2025〕</w:t>
      </w:r>
      <w:r>
        <w:rPr>
          <w:rFonts w:hint="eastAsia" w:eastAsia="方正仿宋_GB2312"/>
          <w:sz w:val="32"/>
          <w:szCs w:val="32"/>
          <w:lang w:val="en-US" w:eastAsia="zh-CN"/>
        </w:rPr>
        <w:t>54</w:t>
      </w:r>
      <w:r>
        <w:rPr>
          <w:rFonts w:eastAsia="方正仿宋_GB2312"/>
          <w:sz w:val="32"/>
          <w:szCs w:val="32"/>
        </w:rPr>
        <w:t>号</w:t>
      </w:r>
    </w:p>
    <w:p w14:paraId="44C24155">
      <w:pPr>
        <w:spacing w:line="560" w:lineRule="exact"/>
        <w:rPr>
          <w:rFonts w:eastAsia="仿宋_GB2312"/>
          <w:szCs w:val="21"/>
        </w:rPr>
      </w:pPr>
    </w:p>
    <w:p w14:paraId="15AF71B1">
      <w:pPr>
        <w:spacing w:line="560" w:lineRule="exact"/>
        <w:rPr>
          <w:rFonts w:eastAsia="仿宋_GB2312"/>
          <w:szCs w:val="21"/>
        </w:rPr>
      </w:pPr>
    </w:p>
    <w:p w14:paraId="3D126F0A">
      <w:pPr>
        <w:widowControl/>
        <w:spacing w:line="560" w:lineRule="exact"/>
        <w:jc w:val="center"/>
        <w:rPr>
          <w:rFonts w:eastAsia="方正小标宋简体"/>
          <w:bCs/>
          <w:sz w:val="44"/>
          <w:szCs w:val="44"/>
        </w:rPr>
      </w:pPr>
      <w:r>
        <w:rPr>
          <w:rFonts w:eastAsia="方正小标宋简体"/>
          <w:bCs/>
          <w:sz w:val="44"/>
          <w:szCs w:val="44"/>
        </w:rPr>
        <w:t>关于第一师阿拉尔市2022年方舱集中隔离点建设项目环境影响报告</w:t>
      </w:r>
      <w:r>
        <w:rPr>
          <w:rFonts w:hint="eastAsia" w:eastAsia="方正小标宋简体"/>
          <w:bCs/>
          <w:sz w:val="44"/>
          <w:szCs w:val="44"/>
        </w:rPr>
        <w:t>书</w:t>
      </w:r>
      <w:r>
        <w:rPr>
          <w:rFonts w:eastAsia="方正小标宋简体"/>
          <w:bCs/>
          <w:sz w:val="44"/>
          <w:szCs w:val="44"/>
        </w:rPr>
        <w:t>的批复</w:t>
      </w:r>
    </w:p>
    <w:p w14:paraId="3B15AFEE">
      <w:pPr>
        <w:widowControl/>
        <w:spacing w:line="560" w:lineRule="exact"/>
        <w:rPr>
          <w:rFonts w:eastAsia="方正小标宋简体"/>
          <w:bCs/>
          <w:color w:val="0000FF"/>
          <w:sz w:val="44"/>
          <w:szCs w:val="44"/>
        </w:rPr>
      </w:pPr>
    </w:p>
    <w:p w14:paraId="49E7A31D">
      <w:pPr>
        <w:widowControl/>
        <w:spacing w:line="560" w:lineRule="exact"/>
        <w:ind w:left="640" w:hanging="640" w:hangingChars="200"/>
        <w:rPr>
          <w:rFonts w:eastAsia="方正仿宋简体"/>
          <w:kern w:val="0"/>
          <w:sz w:val="32"/>
          <w:szCs w:val="32"/>
        </w:rPr>
      </w:pPr>
      <w:r>
        <w:rPr>
          <w:rFonts w:hint="eastAsia" w:eastAsia="方正仿宋简体"/>
          <w:kern w:val="0"/>
          <w:sz w:val="32"/>
          <w:szCs w:val="32"/>
        </w:rPr>
        <w:t>第一师卫生健康委员会</w:t>
      </w:r>
      <w:r>
        <w:rPr>
          <w:rFonts w:eastAsia="方正仿宋简体"/>
          <w:kern w:val="0"/>
          <w:sz w:val="32"/>
          <w:szCs w:val="32"/>
        </w:rPr>
        <w:t>：</w:t>
      </w:r>
    </w:p>
    <w:p w14:paraId="5A9C08B8">
      <w:pPr>
        <w:widowControl/>
        <w:spacing w:line="560" w:lineRule="exact"/>
        <w:ind w:firstLine="640" w:firstLineChars="200"/>
        <w:rPr>
          <w:rFonts w:eastAsia="方正仿宋简体"/>
          <w:kern w:val="0"/>
          <w:sz w:val="32"/>
          <w:szCs w:val="32"/>
        </w:rPr>
      </w:pPr>
      <w:r>
        <w:rPr>
          <w:rFonts w:eastAsia="方正仿宋简体"/>
          <w:sz w:val="32"/>
          <w:szCs w:val="32"/>
        </w:rPr>
        <w:t>你单位报送的《关于送审第一师阿拉尔市2022年方舱集中隔离点建设项目环境影响</w:t>
      </w:r>
      <w:r>
        <w:rPr>
          <w:rFonts w:hint="eastAsia" w:eastAsia="方正仿宋简体"/>
          <w:sz w:val="32"/>
          <w:szCs w:val="32"/>
        </w:rPr>
        <w:t>报告书</w:t>
      </w:r>
      <w:r>
        <w:rPr>
          <w:rFonts w:eastAsia="方正仿宋简体"/>
          <w:kern w:val="0"/>
          <w:sz w:val="32"/>
          <w:szCs w:val="32"/>
        </w:rPr>
        <w:t>的请示</w:t>
      </w:r>
      <w:r>
        <w:rPr>
          <w:rFonts w:eastAsia="方正仿宋简体"/>
          <w:sz w:val="32"/>
          <w:szCs w:val="32"/>
        </w:rPr>
        <w:t>》及《第一师阿拉尔市2022年方舱集中隔离点建设项目环境影响</w:t>
      </w:r>
      <w:r>
        <w:rPr>
          <w:rFonts w:hint="eastAsia" w:eastAsia="方正仿宋简体"/>
          <w:sz w:val="32"/>
          <w:szCs w:val="32"/>
        </w:rPr>
        <w:t>报告书</w:t>
      </w:r>
      <w:r>
        <w:rPr>
          <w:rFonts w:eastAsia="方正仿宋简体"/>
          <w:sz w:val="32"/>
          <w:szCs w:val="32"/>
        </w:rPr>
        <w:t>》（以下简称《</w:t>
      </w:r>
      <w:r>
        <w:rPr>
          <w:rFonts w:hint="eastAsia" w:eastAsia="方正仿宋简体"/>
          <w:sz w:val="32"/>
          <w:szCs w:val="32"/>
        </w:rPr>
        <w:t>报告书</w:t>
      </w:r>
      <w:r>
        <w:rPr>
          <w:rFonts w:eastAsia="方正仿宋简体"/>
          <w:sz w:val="32"/>
          <w:szCs w:val="32"/>
        </w:rPr>
        <w:t>》）已收悉。经专家审查和研究，现批复如下：</w:t>
      </w:r>
    </w:p>
    <w:p w14:paraId="13105127">
      <w:pPr>
        <w:pStyle w:val="6"/>
        <w:spacing w:line="560" w:lineRule="exact"/>
        <w:ind w:firstLine="640" w:firstLineChars="200"/>
        <w:jc w:val="both"/>
        <w:rPr>
          <w:rFonts w:eastAsia="方正仿宋简体"/>
          <w:color w:val="000000"/>
          <w:kern w:val="0"/>
          <w:sz w:val="32"/>
          <w:szCs w:val="32"/>
        </w:rPr>
      </w:pPr>
      <w:r>
        <w:rPr>
          <w:rFonts w:hint="eastAsia" w:ascii="方正黑体简体" w:hAnsi="方正黑体简体" w:eastAsia="方正黑体简体" w:cs="方正黑体简体"/>
          <w:color w:val="000000"/>
          <w:kern w:val="0"/>
          <w:sz w:val="32"/>
          <w:szCs w:val="32"/>
        </w:rPr>
        <w:t>一</w:t>
      </w:r>
      <w:r>
        <w:rPr>
          <w:rFonts w:eastAsia="方正仿宋简体"/>
          <w:color w:val="000000"/>
          <w:kern w:val="0"/>
          <w:sz w:val="32"/>
          <w:szCs w:val="32"/>
        </w:rPr>
        <w:t>、该项</w:t>
      </w:r>
      <w:r>
        <w:rPr>
          <w:rFonts w:eastAsia="方正仿宋简体"/>
          <w:kern w:val="0"/>
          <w:sz w:val="32"/>
          <w:szCs w:val="32"/>
        </w:rPr>
        <w:t>目位于</w:t>
      </w:r>
      <w:r>
        <w:rPr>
          <w:rFonts w:hint="eastAsia" w:eastAsia="方正仿宋简体"/>
          <w:kern w:val="0"/>
          <w:sz w:val="32"/>
          <w:szCs w:val="32"/>
        </w:rPr>
        <w:t>第一师阿拉尔经济技术开发区仓储物流片区，占地面积177271.95平方米，分为两个地块，相距1公里。其中地块一有1500间隔离用房，西北侧900米处为18连连部，东侧440米处为棉花暂存仓库，其余周边均为农用地（一般耕地），中心地理位置坐标为：东经81°09'56.798″，北纬40°35′03.329″。地块二有500间隔离用房，周边均为农用地（一般耕地），中心地理位置坐标为东经81°10′05.4340″，北纬40°34′19.2857″。该项目已于2022年8月开工建设并投入使用，项目已建设两处医学观察用房共2000间，配套建设业务用房、医护人员宿舍等配套用房，建设污水处理设施、垃圾暂存间、消杀间、危险废物暂存间、医疗废物暂存间以及室外附属设施等主体工程及配套辅助设施。项目总投资13000万元，其中环保投资360万元，占总投资的2.77%。</w:t>
      </w:r>
    </w:p>
    <w:p w14:paraId="2C6B2306">
      <w:pPr>
        <w:spacing w:line="560" w:lineRule="exact"/>
        <w:ind w:firstLine="640" w:firstLineChars="200"/>
        <w:rPr>
          <w:rFonts w:eastAsia="方正仿宋简体"/>
          <w:color w:val="000000"/>
          <w:kern w:val="0"/>
          <w:sz w:val="32"/>
          <w:szCs w:val="32"/>
        </w:rPr>
      </w:pPr>
      <w:r>
        <w:rPr>
          <w:rFonts w:hint="eastAsia" w:ascii="方正黑体简体" w:hAnsi="方正黑体简体" w:eastAsia="方正黑体简体" w:cs="方正黑体简体"/>
          <w:color w:val="000000"/>
          <w:kern w:val="0"/>
          <w:sz w:val="32"/>
          <w:szCs w:val="32"/>
          <w:lang w:val="en-US" w:eastAsia="zh-CN" w:bidi="ar-SA"/>
        </w:rPr>
        <w:t>二</w:t>
      </w:r>
      <w:r>
        <w:rPr>
          <w:rFonts w:eastAsia="方正仿宋简体"/>
          <w:color w:val="000000"/>
          <w:kern w:val="0"/>
          <w:sz w:val="32"/>
          <w:szCs w:val="32"/>
        </w:rPr>
        <w:t>、根据兵团环境工程评估中心</w:t>
      </w:r>
      <w:r>
        <w:rPr>
          <w:rFonts w:eastAsia="方正仿宋简体"/>
          <w:color w:val="000000"/>
          <w:sz w:val="32"/>
          <w:szCs w:val="32"/>
        </w:rPr>
        <w:t>对《</w:t>
      </w:r>
      <w:r>
        <w:rPr>
          <w:rFonts w:hint="eastAsia" w:eastAsia="方正仿宋简体"/>
          <w:color w:val="000000"/>
          <w:sz w:val="32"/>
          <w:szCs w:val="32"/>
        </w:rPr>
        <w:t>报告书</w:t>
      </w:r>
      <w:r>
        <w:rPr>
          <w:rFonts w:eastAsia="方正仿宋简体"/>
          <w:color w:val="000000"/>
          <w:sz w:val="32"/>
          <w:szCs w:val="32"/>
        </w:rPr>
        <w:t>》的技术评估意见</w:t>
      </w:r>
      <w:r>
        <w:rPr>
          <w:rFonts w:eastAsia="方正仿宋简体"/>
          <w:color w:val="000000"/>
          <w:kern w:val="0"/>
          <w:sz w:val="32"/>
          <w:szCs w:val="32"/>
        </w:rPr>
        <w:t>（兵环评估〔2025〕</w:t>
      </w:r>
      <w:r>
        <w:rPr>
          <w:rFonts w:hint="eastAsia" w:eastAsia="方正仿宋简体"/>
          <w:color w:val="000000"/>
          <w:kern w:val="0"/>
          <w:sz w:val="32"/>
          <w:szCs w:val="32"/>
        </w:rPr>
        <w:t>124</w:t>
      </w:r>
      <w:r>
        <w:rPr>
          <w:rFonts w:eastAsia="方正仿宋简体"/>
          <w:color w:val="000000"/>
          <w:kern w:val="0"/>
          <w:sz w:val="32"/>
          <w:szCs w:val="32"/>
        </w:rPr>
        <w:t>号）和阿克苏律天环保工程有限公司编制的《</w:t>
      </w:r>
      <w:r>
        <w:rPr>
          <w:rFonts w:hint="eastAsia" w:eastAsia="方正仿宋简体"/>
          <w:color w:val="000000"/>
          <w:kern w:val="0"/>
          <w:sz w:val="32"/>
          <w:szCs w:val="32"/>
        </w:rPr>
        <w:t>报告书</w:t>
      </w:r>
      <w:r>
        <w:rPr>
          <w:rFonts w:eastAsia="方正仿宋简体"/>
          <w:color w:val="000000"/>
          <w:kern w:val="0"/>
          <w:sz w:val="32"/>
          <w:szCs w:val="32"/>
        </w:rPr>
        <w:t>》评价结论，该项目为疾病预防控制中心建设项目，在符合产业政策、选址符合国土空间规划等相关规划的前提下，从环境保护的角度，我局原则同意《</w:t>
      </w:r>
      <w:r>
        <w:rPr>
          <w:rFonts w:hint="eastAsia" w:eastAsia="方正仿宋简体"/>
          <w:color w:val="000000"/>
          <w:kern w:val="0"/>
          <w:sz w:val="32"/>
          <w:szCs w:val="32"/>
        </w:rPr>
        <w:t>报告书</w:t>
      </w:r>
      <w:r>
        <w:rPr>
          <w:rFonts w:eastAsia="方正仿宋简体"/>
          <w:color w:val="000000"/>
          <w:kern w:val="0"/>
          <w:sz w:val="32"/>
          <w:szCs w:val="32"/>
        </w:rPr>
        <w:t>》结论。</w:t>
      </w:r>
    </w:p>
    <w:p w14:paraId="2B768D3B">
      <w:pPr>
        <w:spacing w:line="560" w:lineRule="exact"/>
        <w:ind w:firstLine="640" w:firstLineChars="200"/>
        <w:rPr>
          <w:rFonts w:eastAsia="方正仿宋简体"/>
          <w:kern w:val="0"/>
          <w:sz w:val="32"/>
          <w:szCs w:val="32"/>
        </w:rPr>
      </w:pPr>
      <w:r>
        <w:rPr>
          <w:rFonts w:hint="eastAsia" w:ascii="方正黑体简体" w:hAnsi="方正黑体简体" w:eastAsia="方正黑体简体" w:cs="方正黑体简体"/>
          <w:color w:val="000000"/>
          <w:kern w:val="0"/>
          <w:sz w:val="32"/>
          <w:szCs w:val="32"/>
          <w:lang w:val="en-US" w:eastAsia="zh-CN" w:bidi="ar-SA"/>
        </w:rPr>
        <w:t>三</w:t>
      </w:r>
      <w:r>
        <w:rPr>
          <w:rFonts w:eastAsia="方正仿宋简体"/>
          <w:color w:val="000000"/>
          <w:kern w:val="0"/>
          <w:sz w:val="32"/>
          <w:szCs w:val="32"/>
        </w:rPr>
        <w:t>、</w:t>
      </w:r>
      <w:r>
        <w:rPr>
          <w:rFonts w:eastAsia="方正仿宋简体"/>
          <w:kern w:val="0"/>
          <w:sz w:val="32"/>
          <w:szCs w:val="32"/>
        </w:rPr>
        <w:t>你单位在项目运营中，应严格执行有关环境质量标准和污染物排放标准，认真、全面落实</w:t>
      </w:r>
      <w:r>
        <w:rPr>
          <w:rFonts w:hint="eastAsia" w:eastAsia="方正仿宋简体"/>
          <w:kern w:val="0"/>
          <w:sz w:val="32"/>
          <w:szCs w:val="32"/>
        </w:rPr>
        <w:t>报告书</w:t>
      </w:r>
      <w:r>
        <w:rPr>
          <w:rFonts w:eastAsia="方正仿宋简体"/>
          <w:kern w:val="0"/>
          <w:sz w:val="32"/>
          <w:szCs w:val="32"/>
        </w:rPr>
        <w:t>提出的各项环保对策措施和要求，确保污染物达标排放和各环境敏感点满足相应功能要求。重点做好以下工作：</w:t>
      </w:r>
    </w:p>
    <w:p w14:paraId="24536060">
      <w:pPr>
        <w:pStyle w:val="10"/>
        <w:spacing w:after="0" w:line="560" w:lineRule="exact"/>
        <w:ind w:left="0" w:leftChars="0" w:firstLine="640"/>
        <w:rPr>
          <w:rFonts w:eastAsia="方正仿宋简体"/>
          <w:kern w:val="0"/>
          <w:sz w:val="32"/>
          <w:szCs w:val="32"/>
        </w:rPr>
      </w:pPr>
      <w:r>
        <w:rPr>
          <w:rFonts w:eastAsia="方正楷体简体"/>
          <w:kern w:val="0"/>
          <w:sz w:val="32"/>
          <w:szCs w:val="32"/>
        </w:rPr>
        <w:t>（一）严格落实大气污染防治措施。</w:t>
      </w:r>
      <w:r>
        <w:rPr>
          <w:rFonts w:eastAsia="方正仿宋简体"/>
          <w:kern w:val="0"/>
          <w:sz w:val="32"/>
          <w:szCs w:val="32"/>
        </w:rPr>
        <w:t>该项目运营期产生的废气主要为</w:t>
      </w:r>
      <w:r>
        <w:rPr>
          <w:rFonts w:hint="eastAsia" w:eastAsia="方正仿宋简体"/>
          <w:kern w:val="0"/>
          <w:sz w:val="32"/>
          <w:szCs w:val="32"/>
        </w:rPr>
        <w:t>污水处理站废气、病区浑浊带菌空气、汽车尾气、医疗废物暂存间恶臭气体和备用柴油发电机尾气</w:t>
      </w:r>
      <w:r>
        <w:rPr>
          <w:rFonts w:eastAsia="方正仿宋简体"/>
          <w:kern w:val="0"/>
          <w:sz w:val="32"/>
          <w:szCs w:val="32"/>
        </w:rPr>
        <w:t>。</w:t>
      </w:r>
      <w:r>
        <w:rPr>
          <w:rFonts w:hint="eastAsia" w:eastAsia="方正仿宋简体"/>
          <w:kern w:val="0"/>
          <w:sz w:val="32"/>
          <w:szCs w:val="32"/>
        </w:rPr>
        <w:t>污水处理站</w:t>
      </w:r>
      <w:r>
        <w:rPr>
          <w:rFonts w:eastAsia="方正仿宋简体"/>
          <w:kern w:val="0"/>
          <w:sz w:val="32"/>
          <w:szCs w:val="32"/>
          <w:lang w:val="zh-CN"/>
        </w:rPr>
        <w:t>各构筑物加盖密闭，</w:t>
      </w:r>
      <w:r>
        <w:rPr>
          <w:rFonts w:hint="eastAsia" w:eastAsia="方正仿宋简体"/>
          <w:kern w:val="0"/>
          <w:sz w:val="32"/>
          <w:szCs w:val="32"/>
        </w:rPr>
        <w:t>恶臭气体经集中通风系统收集，采用“紫外线消毒+活性炭吸附一体装置”处理,</w:t>
      </w:r>
      <w:r>
        <w:rPr>
          <w:rFonts w:eastAsia="方正仿宋简体"/>
          <w:kern w:val="0"/>
          <w:sz w:val="32"/>
          <w:szCs w:val="32"/>
          <w:lang w:val="zh-CN"/>
        </w:rPr>
        <w:t>恶臭气体</w:t>
      </w:r>
      <w:r>
        <w:rPr>
          <w:rFonts w:eastAsia="方正仿宋简体"/>
          <w:kern w:val="0"/>
          <w:sz w:val="32"/>
          <w:szCs w:val="32"/>
        </w:rPr>
        <w:t>中氨、硫化氢、臭气浓度</w:t>
      </w:r>
      <w:r>
        <w:rPr>
          <w:rFonts w:eastAsia="方正仿宋简体"/>
          <w:kern w:val="0"/>
          <w:sz w:val="32"/>
          <w:szCs w:val="32"/>
          <w:lang w:val="zh-CN"/>
        </w:rPr>
        <w:t>排放满足《恶臭污染物排放标准》（GB14554-93）表2标准</w:t>
      </w:r>
      <w:r>
        <w:rPr>
          <w:rFonts w:hint="eastAsia" w:eastAsia="方正仿宋简体"/>
          <w:kern w:val="0"/>
          <w:sz w:val="32"/>
          <w:szCs w:val="32"/>
        </w:rPr>
        <w:t>限值</w:t>
      </w:r>
      <w:r>
        <w:rPr>
          <w:rFonts w:eastAsia="方正仿宋简体"/>
          <w:kern w:val="0"/>
          <w:sz w:val="32"/>
          <w:szCs w:val="32"/>
          <w:lang w:val="zh-CN"/>
        </w:rPr>
        <w:t>要求</w:t>
      </w:r>
      <w:r>
        <w:rPr>
          <w:rFonts w:hint="eastAsia" w:eastAsia="方正仿宋简体"/>
          <w:kern w:val="0"/>
          <w:sz w:val="32"/>
          <w:szCs w:val="32"/>
          <w:lang w:val="zh-CN"/>
        </w:rPr>
        <w:t>后，</w:t>
      </w:r>
      <w:r>
        <w:rPr>
          <w:rFonts w:hint="eastAsia" w:eastAsia="方正仿宋简体"/>
          <w:kern w:val="0"/>
          <w:sz w:val="32"/>
          <w:szCs w:val="32"/>
        </w:rPr>
        <w:t>由15米高的排气筒排放。</w:t>
      </w:r>
      <w:r>
        <w:rPr>
          <w:rFonts w:hint="eastAsia" w:eastAsia="方正仿宋简体"/>
          <w:kern w:val="0"/>
          <w:sz w:val="32"/>
          <w:szCs w:val="32"/>
          <w:lang w:val="zh-CN"/>
        </w:rPr>
        <w:t>通过采取</w:t>
      </w:r>
      <w:r>
        <w:rPr>
          <w:rFonts w:eastAsia="方正仿宋简体"/>
          <w:kern w:val="0"/>
          <w:sz w:val="32"/>
          <w:szCs w:val="32"/>
          <w:lang w:val="zh-CN"/>
        </w:rPr>
        <w:t>加强室内通风；危险废物暂存间为封闭式；加强污水处理站的运行操作管理，污泥及时外运，防止恶臭形成，定期喷洒除臭剂</w:t>
      </w:r>
      <w:r>
        <w:rPr>
          <w:rFonts w:hint="eastAsia" w:eastAsia="方正仿宋简体"/>
          <w:kern w:val="0"/>
          <w:sz w:val="32"/>
          <w:szCs w:val="32"/>
          <w:lang w:val="zh-CN"/>
        </w:rPr>
        <w:t>等措施，确保</w:t>
      </w:r>
      <w:r>
        <w:rPr>
          <w:rFonts w:eastAsia="方正仿宋简体"/>
          <w:kern w:val="0"/>
          <w:sz w:val="32"/>
          <w:szCs w:val="32"/>
          <w:lang w:val="zh-CN"/>
        </w:rPr>
        <w:t>柴油发电机尾气排放满足《大气污染物综合排放标准》（GB16297-1996）表2新污染大气污染物排放限值中厂界无组织排放限值要求后无组织排放</w:t>
      </w:r>
      <w:r>
        <w:rPr>
          <w:rFonts w:hint="eastAsia" w:eastAsia="方正仿宋简体"/>
          <w:kern w:val="0"/>
          <w:sz w:val="32"/>
          <w:szCs w:val="32"/>
          <w:lang w:val="zh-CN"/>
        </w:rPr>
        <w:t>；</w:t>
      </w:r>
      <w:r>
        <w:rPr>
          <w:rFonts w:eastAsia="方正仿宋简体"/>
          <w:kern w:val="0"/>
          <w:sz w:val="32"/>
          <w:szCs w:val="32"/>
          <w:lang w:val="zh-CN"/>
        </w:rPr>
        <w:t>污水处理站周边氨、硫化氢、臭气浓度、甲烷、氯气无组织排放满足《医疗机构水污染物排放标准》（GB18466-2005）表3中相关标准要求。</w:t>
      </w:r>
    </w:p>
    <w:p w14:paraId="58778B31">
      <w:pPr>
        <w:spacing w:line="560" w:lineRule="exact"/>
        <w:ind w:firstLine="640"/>
        <w:rPr>
          <w:rFonts w:eastAsia="方正仿宋简体"/>
          <w:kern w:val="0"/>
          <w:sz w:val="32"/>
          <w:szCs w:val="32"/>
        </w:rPr>
      </w:pPr>
      <w:r>
        <w:rPr>
          <w:rFonts w:eastAsia="方正楷体简体"/>
          <w:kern w:val="0"/>
          <w:sz w:val="32"/>
          <w:szCs w:val="32"/>
        </w:rPr>
        <w:t>（二）严格落实水污染防治措施。</w:t>
      </w:r>
      <w:r>
        <w:rPr>
          <w:rFonts w:eastAsia="方正仿宋简体"/>
          <w:kern w:val="0"/>
          <w:sz w:val="32"/>
          <w:szCs w:val="32"/>
        </w:rPr>
        <w:t>该项目运营期产生的废水主要为</w:t>
      </w:r>
      <w:r>
        <w:rPr>
          <w:rFonts w:hint="eastAsia" w:eastAsia="方正仿宋简体"/>
          <w:kern w:val="0"/>
          <w:sz w:val="32"/>
          <w:szCs w:val="32"/>
        </w:rPr>
        <w:t>医疗废水、职工生活污水、救护车清洗废水、地面清洁废水、洗衣风废水</w:t>
      </w:r>
      <w:r>
        <w:rPr>
          <w:rFonts w:eastAsia="方正仿宋简体"/>
          <w:kern w:val="0"/>
          <w:sz w:val="32"/>
          <w:szCs w:val="32"/>
        </w:rPr>
        <w:t>。</w:t>
      </w:r>
      <w:r>
        <w:rPr>
          <w:rFonts w:hint="eastAsia" w:eastAsia="方正仿宋简体"/>
          <w:kern w:val="0"/>
          <w:sz w:val="32"/>
          <w:szCs w:val="32"/>
        </w:rPr>
        <w:t>医疗废水经预处理系统后同其他各类废水经污水处理站“预处理系统（化粪池+预消毒池）+污水处理站（格栅池+调节池+A池+O池+MBR池+消毒池）”处理</w:t>
      </w:r>
      <w:r>
        <w:rPr>
          <w:rFonts w:hint="eastAsia" w:eastAsia="方正仿宋简体"/>
          <w:kern w:val="0"/>
          <w:sz w:val="32"/>
          <w:szCs w:val="32"/>
          <w:lang w:eastAsia="zh-CN"/>
        </w:rPr>
        <w:t>，</w:t>
      </w:r>
      <w:r>
        <w:rPr>
          <w:rFonts w:eastAsia="方正仿宋简体"/>
          <w:kern w:val="0"/>
          <w:sz w:val="32"/>
          <w:szCs w:val="32"/>
        </w:rPr>
        <w:t>满足</w:t>
      </w:r>
      <w:r>
        <w:rPr>
          <w:rFonts w:eastAsia="方正仿宋简体"/>
          <w:color w:val="auto"/>
          <w:kern w:val="0"/>
          <w:sz w:val="32"/>
          <w:szCs w:val="32"/>
          <w:lang w:val="zh-CN"/>
        </w:rPr>
        <w:t>《医疗机构水污染物排放标准》（GB18466-2005）表</w:t>
      </w:r>
      <w:r>
        <w:rPr>
          <w:rFonts w:eastAsia="方正仿宋简体"/>
          <w:color w:val="auto"/>
          <w:kern w:val="0"/>
          <w:sz w:val="32"/>
          <w:szCs w:val="32"/>
        </w:rPr>
        <w:t>1</w:t>
      </w:r>
      <w:r>
        <w:rPr>
          <w:rFonts w:eastAsia="方正仿宋简体"/>
          <w:kern w:val="0"/>
          <w:sz w:val="32"/>
          <w:szCs w:val="32"/>
          <w:lang w:val="zh-CN"/>
        </w:rPr>
        <w:t>标准后</w:t>
      </w:r>
      <w:r>
        <w:rPr>
          <w:rFonts w:hint="eastAsia" w:eastAsia="方正仿宋简体"/>
          <w:kern w:val="0"/>
          <w:sz w:val="32"/>
          <w:szCs w:val="32"/>
          <w:lang w:val="zh-CN"/>
        </w:rPr>
        <w:t>，</w:t>
      </w:r>
      <w:r>
        <w:rPr>
          <w:rFonts w:eastAsia="方正仿宋简体"/>
          <w:kern w:val="0"/>
          <w:sz w:val="32"/>
          <w:szCs w:val="32"/>
          <w:lang w:val="zh-CN"/>
        </w:rPr>
        <w:t>排入阿拉尔工业园区污水处</w:t>
      </w:r>
      <w:r>
        <w:rPr>
          <w:rFonts w:eastAsia="方正仿宋简体"/>
          <w:color w:val="auto"/>
          <w:kern w:val="0"/>
          <w:sz w:val="32"/>
          <w:szCs w:val="32"/>
          <w:lang w:val="zh-CN"/>
        </w:rPr>
        <w:t>理</w:t>
      </w:r>
      <w:r>
        <w:rPr>
          <w:rFonts w:hint="eastAsia" w:eastAsia="方正仿宋简体"/>
          <w:color w:val="auto"/>
          <w:kern w:val="0"/>
          <w:sz w:val="32"/>
          <w:szCs w:val="32"/>
          <w:lang w:val="zh-CN" w:eastAsia="zh-CN"/>
        </w:rPr>
        <w:t>厂</w:t>
      </w:r>
      <w:r>
        <w:rPr>
          <w:rFonts w:hint="eastAsia" w:eastAsia="方正仿宋简体"/>
          <w:kern w:val="0"/>
          <w:sz w:val="32"/>
          <w:szCs w:val="32"/>
        </w:rPr>
        <w:t>处理</w:t>
      </w:r>
      <w:r>
        <w:rPr>
          <w:rFonts w:hint="eastAsia" w:eastAsia="方正仿宋简体"/>
          <w:kern w:val="0"/>
          <w:sz w:val="32"/>
          <w:szCs w:val="32"/>
          <w:lang w:val="zh-CN"/>
        </w:rPr>
        <w:t>。</w:t>
      </w:r>
    </w:p>
    <w:p w14:paraId="0F6D7D07">
      <w:pPr>
        <w:pStyle w:val="5"/>
        <w:adjustRightInd w:val="0"/>
        <w:snapToGrid w:val="0"/>
        <w:spacing w:line="560" w:lineRule="exact"/>
        <w:ind w:firstLine="640" w:firstLineChars="200"/>
        <w:rPr>
          <w:rFonts w:eastAsia="方正仿宋简体"/>
          <w:kern w:val="0"/>
          <w:sz w:val="32"/>
          <w:szCs w:val="32"/>
          <w:lang w:val="zh-CN"/>
        </w:rPr>
      </w:pPr>
      <w:r>
        <w:rPr>
          <w:rFonts w:eastAsia="方正楷体简体"/>
          <w:kern w:val="0"/>
          <w:sz w:val="32"/>
          <w:szCs w:val="32"/>
        </w:rPr>
        <w:t>（三）严格落实噪声污染防治措施。</w:t>
      </w:r>
      <w:r>
        <w:rPr>
          <w:rFonts w:eastAsia="方正仿宋简体"/>
          <w:kern w:val="0"/>
          <w:sz w:val="32"/>
          <w:szCs w:val="32"/>
        </w:rPr>
        <w:t>项目噪声主要来自</w:t>
      </w:r>
      <w:r>
        <w:rPr>
          <w:rFonts w:hint="eastAsia" w:eastAsia="方正仿宋简体"/>
          <w:kern w:val="0"/>
          <w:sz w:val="32"/>
          <w:szCs w:val="32"/>
        </w:rPr>
        <w:t>风机、水泵</w:t>
      </w:r>
      <w:r>
        <w:rPr>
          <w:rFonts w:eastAsia="方正仿宋简体"/>
          <w:kern w:val="0"/>
          <w:sz w:val="32"/>
          <w:szCs w:val="32"/>
        </w:rPr>
        <w:t>等运行</w:t>
      </w:r>
      <w:r>
        <w:rPr>
          <w:rFonts w:hint="eastAsia" w:eastAsia="方正仿宋简体"/>
          <w:kern w:val="0"/>
          <w:sz w:val="32"/>
          <w:szCs w:val="32"/>
        </w:rPr>
        <w:t>产生的</w:t>
      </w:r>
      <w:r>
        <w:rPr>
          <w:rFonts w:eastAsia="方正仿宋简体"/>
          <w:kern w:val="0"/>
          <w:sz w:val="32"/>
          <w:szCs w:val="32"/>
        </w:rPr>
        <w:t>噪声。通过</w:t>
      </w:r>
      <w:r>
        <w:rPr>
          <w:rFonts w:eastAsia="方正仿宋简体"/>
          <w:kern w:val="0"/>
          <w:sz w:val="32"/>
          <w:szCs w:val="32"/>
          <w:lang w:val="zh-CN"/>
        </w:rPr>
        <w:t>合理布局</w:t>
      </w:r>
      <w:r>
        <w:rPr>
          <w:rFonts w:eastAsia="方正仿宋简体"/>
          <w:kern w:val="0"/>
          <w:sz w:val="32"/>
          <w:szCs w:val="32"/>
        </w:rPr>
        <w:t>设备</w:t>
      </w:r>
      <w:r>
        <w:rPr>
          <w:rFonts w:eastAsia="方正仿宋简体"/>
          <w:kern w:val="0"/>
          <w:sz w:val="32"/>
          <w:szCs w:val="32"/>
          <w:lang w:val="zh-CN"/>
        </w:rPr>
        <w:t>，将产生强噪声的设备与厂界保持足够距离；选择先进可靠的低噪声设备，对高噪声设备采取安装减振垫，用弹性连接代替设备与地面刚性连接，在噪声源强较大的设备处设置围护等措施；定期维护设备，确保设备运行状态良好；项目区种植绿化隔离带</w:t>
      </w:r>
      <w:r>
        <w:rPr>
          <w:rFonts w:hint="eastAsia" w:eastAsia="方正仿宋简体"/>
          <w:kern w:val="0"/>
          <w:sz w:val="32"/>
          <w:szCs w:val="32"/>
          <w:lang w:val="zh-CN"/>
        </w:rPr>
        <w:t>等措施后</w:t>
      </w:r>
      <w:r>
        <w:rPr>
          <w:rFonts w:eastAsia="方正仿宋简体"/>
          <w:kern w:val="0"/>
          <w:sz w:val="32"/>
          <w:szCs w:val="32"/>
          <w:lang w:val="zh-CN"/>
        </w:rPr>
        <w:t>，</w:t>
      </w:r>
      <w:r>
        <w:rPr>
          <w:rFonts w:hint="eastAsia" w:eastAsia="方正仿宋简体"/>
          <w:kern w:val="0"/>
          <w:sz w:val="32"/>
          <w:szCs w:val="32"/>
          <w:lang w:val="zh-CN"/>
        </w:rPr>
        <w:t>确保</w:t>
      </w:r>
      <w:r>
        <w:rPr>
          <w:rFonts w:eastAsia="方正仿宋简体"/>
          <w:kern w:val="0"/>
          <w:sz w:val="32"/>
          <w:szCs w:val="32"/>
          <w:lang w:val="zh-CN"/>
        </w:rPr>
        <w:t>厂界噪声</w:t>
      </w:r>
      <w:r>
        <w:rPr>
          <w:rFonts w:hint="eastAsia" w:eastAsia="方正仿宋简体"/>
          <w:kern w:val="0"/>
          <w:sz w:val="32"/>
          <w:szCs w:val="32"/>
        </w:rPr>
        <w:t>排放</w:t>
      </w:r>
      <w:r>
        <w:rPr>
          <w:rFonts w:eastAsia="方正仿宋简体"/>
          <w:kern w:val="0"/>
          <w:sz w:val="32"/>
          <w:szCs w:val="32"/>
          <w:lang w:val="zh-CN"/>
        </w:rPr>
        <w:t>满足《工业企业厂界环境噪声排放标准》（GB12348-2008）中</w:t>
      </w:r>
      <w:r>
        <w:rPr>
          <w:rFonts w:hint="eastAsia" w:eastAsia="方正仿宋简体"/>
          <w:kern w:val="0"/>
          <w:sz w:val="32"/>
          <w:szCs w:val="32"/>
        </w:rPr>
        <w:t>2</w:t>
      </w:r>
      <w:r>
        <w:rPr>
          <w:rFonts w:eastAsia="方正仿宋简体"/>
          <w:kern w:val="0"/>
          <w:sz w:val="32"/>
          <w:szCs w:val="32"/>
          <w:lang w:val="zh-CN"/>
        </w:rPr>
        <w:t>类标准要求。</w:t>
      </w:r>
    </w:p>
    <w:p w14:paraId="4DB28359">
      <w:pPr>
        <w:spacing w:line="540" w:lineRule="exact"/>
        <w:ind w:firstLine="640"/>
        <w:rPr>
          <w:rFonts w:eastAsia="方正仿宋简体"/>
          <w:kern w:val="0"/>
          <w:sz w:val="32"/>
          <w:szCs w:val="32"/>
        </w:rPr>
      </w:pPr>
      <w:r>
        <w:rPr>
          <w:rFonts w:eastAsia="方正楷体简体"/>
          <w:kern w:val="0"/>
          <w:sz w:val="32"/>
          <w:szCs w:val="32"/>
        </w:rPr>
        <w:t>（四）严格落实固体废物分类处置措施。</w:t>
      </w:r>
      <w:r>
        <w:rPr>
          <w:rFonts w:eastAsia="方正仿宋简体"/>
          <w:kern w:val="0"/>
          <w:sz w:val="32"/>
          <w:szCs w:val="32"/>
        </w:rPr>
        <w:t>该项目运营期产生的固废主要为</w:t>
      </w:r>
      <w:r>
        <w:rPr>
          <w:rFonts w:hint="eastAsia" w:eastAsia="方正仿宋简体"/>
          <w:kern w:val="0"/>
          <w:sz w:val="32"/>
          <w:szCs w:val="32"/>
        </w:rPr>
        <w:t>隔离人员生活垃圾、一次性防护用品等感染性废物；废活性炭；废药物、药品；污水处理站污泥和生活垃圾。隔离人员生活垃圾、一次性防护用品等感染性废物暂存于医疗废物暂存间，废药物、药品、废活性炭暂存于危险废物暂存间，定期交由有危险废物处置资质单位处置。医废、危废</w:t>
      </w:r>
      <w:r>
        <w:rPr>
          <w:rFonts w:eastAsia="方正仿宋简体"/>
          <w:kern w:val="0"/>
          <w:sz w:val="32"/>
          <w:szCs w:val="32"/>
        </w:rPr>
        <w:t>暂存间须严格按照《危险废物贮存污染控制标准》（GB 18597-2023）建设，危险废物的收集、贮存、运输须符合《危险废物收集 贮存 运输技术规范》（HJ 2025-2012）及《危险废物贮存污染控制标准》（GB 18597-2023）的相关要求</w:t>
      </w:r>
      <w:r>
        <w:rPr>
          <w:rFonts w:hint="eastAsia" w:eastAsia="方正仿宋简体"/>
          <w:kern w:val="0"/>
          <w:sz w:val="32"/>
          <w:szCs w:val="32"/>
        </w:rPr>
        <w:t>；</w:t>
      </w:r>
      <w:r>
        <w:rPr>
          <w:rFonts w:eastAsia="方正仿宋简体"/>
          <w:kern w:val="0"/>
          <w:sz w:val="32"/>
          <w:szCs w:val="32"/>
          <w:lang w:val="zh-CN"/>
        </w:rPr>
        <w:t>污水处理站污泥清掏前加入石灰消毒灭菌进行无害化处理，委托有资质的单位进行污泥检测，达到《医疗机构水污染物排放标准》（GB18466-2005）中表4</w:t>
      </w:r>
      <w:r>
        <w:rPr>
          <w:rFonts w:hint="eastAsia" w:eastAsia="方正仿宋简体"/>
          <w:kern w:val="0"/>
          <w:sz w:val="32"/>
          <w:szCs w:val="32"/>
          <w:lang w:val="zh-CN"/>
        </w:rPr>
        <w:t>“</w:t>
      </w:r>
      <w:r>
        <w:rPr>
          <w:rFonts w:eastAsia="方正仿宋简体"/>
          <w:kern w:val="0"/>
          <w:sz w:val="32"/>
          <w:szCs w:val="32"/>
          <w:lang w:val="zh-CN"/>
        </w:rPr>
        <w:t>医疗机构污泥控制标准</w:t>
      </w:r>
      <w:r>
        <w:rPr>
          <w:rFonts w:hint="eastAsia" w:eastAsia="方正仿宋简体"/>
          <w:kern w:val="0"/>
          <w:sz w:val="32"/>
          <w:szCs w:val="32"/>
          <w:lang w:val="zh-CN"/>
        </w:rPr>
        <w:t>”</w:t>
      </w:r>
      <w:r>
        <w:rPr>
          <w:rFonts w:eastAsia="方正仿宋简体"/>
          <w:kern w:val="0"/>
          <w:sz w:val="32"/>
          <w:szCs w:val="32"/>
          <w:lang w:val="zh-CN"/>
        </w:rPr>
        <w:t>后再进行清掏</w:t>
      </w:r>
      <w:r>
        <w:rPr>
          <w:rFonts w:eastAsia="方正仿宋简体"/>
          <w:kern w:val="0"/>
          <w:sz w:val="32"/>
          <w:szCs w:val="32"/>
        </w:rPr>
        <w:t>，最终由有</w:t>
      </w:r>
      <w:r>
        <w:rPr>
          <w:rFonts w:eastAsia="方正仿宋简体"/>
          <w:kern w:val="0"/>
          <w:sz w:val="32"/>
          <w:szCs w:val="32"/>
          <w:lang w:val="zh-CN"/>
        </w:rPr>
        <w:t>相应资质的单位进行处置</w:t>
      </w:r>
      <w:r>
        <w:rPr>
          <w:rFonts w:hint="eastAsia" w:eastAsia="方正仿宋简体"/>
          <w:kern w:val="0"/>
          <w:sz w:val="32"/>
          <w:szCs w:val="32"/>
          <w:lang w:val="zh-CN"/>
        </w:rPr>
        <w:t>；生活垃圾由当地环卫部门定期收集清运至阿拉尔市垃圾填埋场处理，日产日清。</w:t>
      </w:r>
    </w:p>
    <w:p w14:paraId="246E7358">
      <w:pPr>
        <w:pStyle w:val="5"/>
        <w:adjustRightInd w:val="0"/>
        <w:snapToGrid w:val="0"/>
        <w:spacing w:line="560" w:lineRule="exact"/>
        <w:ind w:firstLine="640" w:firstLineChars="200"/>
      </w:pPr>
      <w:r>
        <w:rPr>
          <w:rFonts w:eastAsia="方正楷体简体"/>
          <w:kern w:val="0"/>
          <w:sz w:val="32"/>
          <w:szCs w:val="32"/>
        </w:rPr>
        <w:t>（五）加强项目环境风险防范。</w:t>
      </w:r>
      <w:r>
        <w:rPr>
          <w:rFonts w:eastAsia="方正仿宋简体"/>
          <w:kern w:val="0"/>
          <w:sz w:val="32"/>
          <w:szCs w:val="32"/>
        </w:rPr>
        <w:t>建立严格的环境风险管理制度，认真落实</w:t>
      </w:r>
      <w:r>
        <w:rPr>
          <w:rFonts w:hint="eastAsia" w:eastAsia="方正仿宋简体"/>
          <w:kern w:val="0"/>
          <w:sz w:val="32"/>
          <w:szCs w:val="32"/>
        </w:rPr>
        <w:t>报告书</w:t>
      </w:r>
      <w:r>
        <w:rPr>
          <w:rFonts w:eastAsia="方正仿宋简体"/>
          <w:kern w:val="0"/>
          <w:sz w:val="32"/>
          <w:szCs w:val="32"/>
        </w:rPr>
        <w:t>提出的各项风险防范措施；制定相关应急预案，编制《突发环境事件应急预案》报生态环境主管部门备案，确保不发生环境污染事故；做好和</w:t>
      </w:r>
      <w:r>
        <w:rPr>
          <w:rFonts w:hint="eastAsia" w:eastAsia="方正仿宋简体"/>
          <w:kern w:val="0"/>
          <w:sz w:val="32"/>
          <w:szCs w:val="32"/>
          <w:lang w:val="en-US" w:eastAsia="zh-CN"/>
        </w:rPr>
        <w:t>阿拉尔市</w:t>
      </w:r>
      <w:bookmarkStart w:id="0" w:name="_GoBack"/>
      <w:bookmarkEnd w:id="0"/>
      <w:r>
        <w:rPr>
          <w:rFonts w:eastAsia="方正仿宋简体"/>
          <w:kern w:val="0"/>
          <w:sz w:val="32"/>
          <w:szCs w:val="32"/>
        </w:rPr>
        <w:t>环境应急预案的衔接，定期开展突发环境事件应急演练，及时对环境应急预案进行完善。</w:t>
      </w:r>
    </w:p>
    <w:p w14:paraId="0AE09B04">
      <w:pPr>
        <w:spacing w:line="560" w:lineRule="exact"/>
        <w:ind w:firstLine="640" w:firstLineChars="200"/>
        <w:rPr>
          <w:rFonts w:eastAsia="方正仿宋简体"/>
          <w:bCs/>
          <w:color w:val="000000"/>
          <w:sz w:val="32"/>
          <w:szCs w:val="48"/>
        </w:rPr>
      </w:pPr>
      <w:r>
        <w:rPr>
          <w:rFonts w:eastAsia="方正楷体简体"/>
          <w:kern w:val="0"/>
          <w:sz w:val="32"/>
          <w:szCs w:val="32"/>
          <w:lang w:val="zh-CN"/>
        </w:rPr>
        <w:t>（六）严格落实地下水污染防治措施。</w:t>
      </w:r>
      <w:r>
        <w:rPr>
          <w:rFonts w:eastAsia="方正仿宋简体"/>
          <w:bCs/>
          <w:color w:val="000000"/>
          <w:sz w:val="32"/>
          <w:szCs w:val="48"/>
        </w:rPr>
        <w:t>项目区划分为重点防渗区、一般防渗区和简单防渗区。</w:t>
      </w:r>
      <w:r>
        <w:rPr>
          <w:rFonts w:eastAsia="方正仿宋简体"/>
          <w:bCs/>
          <w:color w:val="000000"/>
          <w:sz w:val="32"/>
          <w:szCs w:val="48"/>
          <w:lang w:val="zh-CN"/>
        </w:rPr>
        <w:t>重点防渗区主要包括</w:t>
      </w:r>
      <w:r>
        <w:rPr>
          <w:rFonts w:hint="eastAsia" w:eastAsia="方正仿宋简体"/>
          <w:bCs/>
          <w:color w:val="000000"/>
          <w:sz w:val="32"/>
          <w:szCs w:val="48"/>
        </w:rPr>
        <w:t>污水处理站、救护车消毒清洗中心、事故池、柴油发电机房、危险废物暂存间和医疗废物暂存间，危险废物暂存间和医疗废物暂存间均按照《危险废物贮存污染控制标准》（GB18597-2023）的防渗要求执行，其余重点防渗区的防渗要求为“等效黏土防渗层Mb≥6.0米，防渗系数K≤1×10</w:t>
      </w:r>
      <w:r>
        <w:rPr>
          <w:rFonts w:hint="eastAsia" w:eastAsia="方正仿宋简体"/>
          <w:bCs/>
          <w:color w:val="000000"/>
          <w:sz w:val="32"/>
          <w:szCs w:val="48"/>
          <w:vertAlign w:val="superscript"/>
        </w:rPr>
        <w:t>-7</w:t>
      </w:r>
      <w:r>
        <w:rPr>
          <w:rFonts w:hint="eastAsia" w:eastAsia="方正仿宋简体"/>
          <w:bCs/>
          <w:color w:val="000000"/>
          <w:sz w:val="32"/>
          <w:szCs w:val="48"/>
        </w:rPr>
        <w:t>厘米/秒”；一般防渗区主要为隔离病房、仓库和生活垃圾收集点，防渗要求为“等效黏土防渗层Mb≥1.5米，防渗系数K≤1×10</w:t>
      </w:r>
      <w:r>
        <w:rPr>
          <w:rFonts w:hint="eastAsia" w:eastAsia="方正仿宋简体"/>
          <w:bCs/>
          <w:color w:val="000000"/>
          <w:sz w:val="32"/>
          <w:szCs w:val="48"/>
          <w:vertAlign w:val="superscript"/>
        </w:rPr>
        <w:t>-7</w:t>
      </w:r>
      <w:r>
        <w:rPr>
          <w:rFonts w:hint="eastAsia" w:eastAsia="方正仿宋简体"/>
          <w:bCs/>
          <w:color w:val="000000"/>
          <w:sz w:val="32"/>
          <w:szCs w:val="48"/>
        </w:rPr>
        <w:t>厘米/秒”；其余部位为简单防渗区，仅进行地面硬化。</w:t>
      </w:r>
    </w:p>
    <w:p w14:paraId="31BF6B9D">
      <w:pPr>
        <w:spacing w:line="560" w:lineRule="exact"/>
        <w:ind w:firstLine="640" w:firstLineChars="200"/>
        <w:rPr>
          <w:rFonts w:eastAsia="方正仿宋简体"/>
          <w:color w:val="000000"/>
          <w:kern w:val="0"/>
          <w:sz w:val="32"/>
          <w:szCs w:val="32"/>
        </w:rPr>
      </w:pPr>
      <w:r>
        <w:rPr>
          <w:rFonts w:hint="eastAsia" w:ascii="方正黑体简体" w:hAnsi="方正黑体简体" w:eastAsia="方正黑体简体" w:cs="方正黑体简体"/>
          <w:color w:val="000000"/>
          <w:kern w:val="0"/>
          <w:sz w:val="32"/>
          <w:szCs w:val="32"/>
          <w:lang w:val="en-US" w:eastAsia="zh-CN" w:bidi="ar-SA"/>
        </w:rPr>
        <w:t>四</w:t>
      </w:r>
      <w:r>
        <w:rPr>
          <w:rFonts w:eastAsia="方正仿宋简体"/>
          <w:color w:val="000000"/>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须按规定程序实施竣工环境保护验收。</w:t>
      </w:r>
    </w:p>
    <w:p w14:paraId="1A177718">
      <w:pPr>
        <w:pStyle w:val="10"/>
        <w:spacing w:after="0" w:line="560" w:lineRule="exact"/>
        <w:ind w:left="0" w:leftChars="0" w:firstLine="640"/>
        <w:rPr>
          <w:rFonts w:eastAsia="方正仿宋简体"/>
          <w:color w:val="000000"/>
          <w:kern w:val="0"/>
          <w:sz w:val="32"/>
          <w:szCs w:val="32"/>
        </w:rPr>
      </w:pPr>
      <w:r>
        <w:rPr>
          <w:rFonts w:hint="eastAsia" w:ascii="方正黑体简体" w:hAnsi="方正黑体简体" w:eastAsia="方正黑体简体" w:cs="方正黑体简体"/>
          <w:color w:val="000000"/>
          <w:kern w:val="0"/>
          <w:sz w:val="32"/>
          <w:szCs w:val="32"/>
          <w:lang w:val="en-US" w:eastAsia="zh-CN" w:bidi="ar-SA"/>
        </w:rPr>
        <w:t>五</w:t>
      </w:r>
      <w:r>
        <w:rPr>
          <w:rFonts w:eastAsia="方正仿宋简体"/>
          <w:color w:val="000000"/>
          <w:kern w:val="0"/>
          <w:sz w:val="32"/>
          <w:szCs w:val="32"/>
        </w:rPr>
        <w:t>、</w:t>
      </w:r>
      <w:r>
        <w:rPr>
          <w:rFonts w:ascii="宋体" w:hAnsi="宋体" w:eastAsia="方正仿宋_GB2312"/>
          <w:kern w:val="0"/>
          <w:sz w:val="32"/>
          <w:szCs w:val="32"/>
        </w:rPr>
        <w:t>在启动生产设施或者在实际排污之前，按照经批准的环境影响评价文件认真梳理并确认各项环境保护措施落实后，依法申领或变更排污许可，按照排污许可要求制定自行监测制度。</w:t>
      </w:r>
    </w:p>
    <w:p w14:paraId="36D772B0">
      <w:pPr>
        <w:pStyle w:val="10"/>
        <w:spacing w:after="0" w:line="560" w:lineRule="exact"/>
        <w:ind w:left="0" w:leftChars="0" w:firstLine="640"/>
        <w:rPr>
          <w:rFonts w:eastAsia="方正仿宋简体"/>
          <w:kern w:val="0"/>
          <w:sz w:val="32"/>
          <w:szCs w:val="32"/>
        </w:rPr>
      </w:pPr>
      <w:r>
        <w:rPr>
          <w:rFonts w:hint="eastAsia" w:ascii="方正黑体简体" w:hAnsi="方正黑体简体" w:eastAsia="方正黑体简体" w:cs="方正黑体简体"/>
          <w:color w:val="000000"/>
          <w:kern w:val="0"/>
          <w:sz w:val="32"/>
          <w:szCs w:val="32"/>
          <w:lang w:val="en-US" w:eastAsia="zh-CN" w:bidi="ar-SA"/>
        </w:rPr>
        <w:t>六</w:t>
      </w:r>
      <w:r>
        <w:rPr>
          <w:rFonts w:eastAsia="方正仿宋简体"/>
          <w:color w:val="000000"/>
          <w:kern w:val="0"/>
          <w:sz w:val="32"/>
          <w:szCs w:val="32"/>
        </w:rPr>
        <w:t>、</w:t>
      </w:r>
      <w:r>
        <w:rPr>
          <w:rFonts w:hint="eastAsia" w:eastAsia="方正仿宋_GB2312"/>
          <w:kern w:val="0"/>
          <w:sz w:val="32"/>
          <w:szCs w:val="32"/>
        </w:rPr>
        <w:t>阿拉尔</w:t>
      </w:r>
      <w:r>
        <w:rPr>
          <w:rFonts w:eastAsia="方正仿宋_GB2312"/>
          <w:kern w:val="0"/>
          <w:sz w:val="32"/>
          <w:szCs w:val="32"/>
          <w:lang w:val="zh-CN"/>
        </w:rPr>
        <w:t>经济技术开发区按照《经济技术开发区管理条例》，做好该项目环境保护管理工作</w:t>
      </w:r>
      <w:r>
        <w:rPr>
          <w:rFonts w:eastAsia="方正仿宋简体"/>
          <w:color w:val="000000"/>
          <w:kern w:val="0"/>
          <w:sz w:val="32"/>
          <w:szCs w:val="32"/>
        </w:rPr>
        <w:t>，师市</w:t>
      </w:r>
      <w:r>
        <w:rPr>
          <w:rFonts w:eastAsia="方正仿宋简体"/>
          <w:kern w:val="0"/>
          <w:sz w:val="32"/>
          <w:szCs w:val="32"/>
        </w:rPr>
        <w:t>生态环境保护综合行政执法支队做好该项目的抽查日常监督管理工作。</w:t>
      </w:r>
    </w:p>
    <w:p w14:paraId="2296EAC5">
      <w:pPr>
        <w:pStyle w:val="10"/>
        <w:spacing w:after="0" w:line="560" w:lineRule="exact"/>
        <w:ind w:left="0" w:leftChars="0" w:firstLine="640"/>
        <w:rPr>
          <w:rFonts w:eastAsia="方正仿宋简体"/>
          <w:kern w:val="0"/>
          <w:sz w:val="32"/>
          <w:szCs w:val="32"/>
        </w:rPr>
      </w:pPr>
      <w:r>
        <w:rPr>
          <w:rFonts w:eastAsia="方正仿宋简体"/>
          <w:kern w:val="0"/>
          <w:sz w:val="32"/>
          <w:szCs w:val="32"/>
        </w:rPr>
        <w:t>如你单位对本审批决定有不同意见，可在接到本决定书之日起六十日内向阿拉尔市人民政府申请行政复议，也可在六个月内依法向阿拉尔垦区人民法院起诉。</w:t>
      </w:r>
    </w:p>
    <w:p w14:paraId="448B8CB8">
      <w:pPr>
        <w:pStyle w:val="2"/>
        <w:spacing w:before="0" w:after="0" w:line="560" w:lineRule="exact"/>
        <w:rPr>
          <w:rFonts w:ascii="Times New Roman" w:hAnsi="Times New Roman"/>
        </w:rPr>
      </w:pPr>
    </w:p>
    <w:p w14:paraId="6EEC6968">
      <w:pPr>
        <w:spacing w:line="560" w:lineRule="exact"/>
      </w:pPr>
    </w:p>
    <w:p w14:paraId="1A48BB4A">
      <w:pPr>
        <w:widowControl/>
        <w:spacing w:line="560" w:lineRule="exact"/>
        <w:ind w:firstLine="4800" w:firstLineChars="1500"/>
        <w:rPr>
          <w:rFonts w:eastAsia="方正仿宋简体"/>
          <w:kern w:val="0"/>
          <w:sz w:val="32"/>
          <w:szCs w:val="32"/>
        </w:rPr>
      </w:pPr>
      <w:r>
        <w:rPr>
          <w:rFonts w:eastAsia="方正仿宋简体"/>
          <w:kern w:val="0"/>
          <w:sz w:val="32"/>
          <w:szCs w:val="32"/>
        </w:rPr>
        <w:t>第一师阿拉尔市生态环境局</w:t>
      </w:r>
    </w:p>
    <w:p w14:paraId="1DBD4499">
      <w:pPr>
        <w:widowControl/>
        <w:spacing w:line="560" w:lineRule="exact"/>
        <w:ind w:firstLine="5600" w:firstLineChars="1750"/>
        <w:rPr>
          <w:rFonts w:eastAsia="方正仿宋简体"/>
          <w:kern w:val="0"/>
          <w:sz w:val="32"/>
          <w:szCs w:val="32"/>
        </w:rPr>
      </w:pPr>
      <w:r>
        <w:rPr>
          <w:rFonts w:eastAsia="方正仿宋简体"/>
          <w:kern w:val="0"/>
          <w:sz w:val="32"/>
          <w:szCs w:val="32"/>
        </w:rPr>
        <w:t>2025年</w:t>
      </w:r>
      <w:r>
        <w:rPr>
          <w:rFonts w:hint="eastAsia" w:eastAsia="方正仿宋简体"/>
          <w:kern w:val="0"/>
          <w:sz w:val="32"/>
          <w:szCs w:val="32"/>
        </w:rPr>
        <w:t>5</w:t>
      </w:r>
      <w:r>
        <w:rPr>
          <w:rFonts w:eastAsia="方正仿宋简体"/>
          <w:kern w:val="0"/>
          <w:sz w:val="32"/>
          <w:szCs w:val="32"/>
        </w:rPr>
        <w:t>月</w:t>
      </w:r>
      <w:r>
        <w:rPr>
          <w:rFonts w:hint="eastAsia" w:eastAsia="方正仿宋简体"/>
          <w:kern w:val="0"/>
          <w:sz w:val="32"/>
          <w:szCs w:val="32"/>
          <w:lang w:val="en-US" w:eastAsia="zh-CN"/>
        </w:rPr>
        <w:t>15</w:t>
      </w:r>
      <w:r>
        <w:rPr>
          <w:rFonts w:eastAsia="方正仿宋简体"/>
          <w:kern w:val="0"/>
          <w:sz w:val="32"/>
          <w:szCs w:val="32"/>
        </w:rPr>
        <w:t>日</w:t>
      </w:r>
    </w:p>
    <w:p w14:paraId="25AAE2A3">
      <w:pPr>
        <w:pStyle w:val="2"/>
        <w:spacing w:before="0" w:after="0" w:line="560" w:lineRule="exact"/>
        <w:rPr>
          <w:rFonts w:ascii="Times New Roman" w:hAnsi="Times New Roman"/>
        </w:rPr>
      </w:pPr>
    </w:p>
    <w:p w14:paraId="25940768">
      <w:pPr>
        <w:spacing w:line="560" w:lineRule="exact"/>
      </w:pPr>
    </w:p>
    <w:p w14:paraId="5C0087D2">
      <w:pPr>
        <w:spacing w:line="560" w:lineRule="exact"/>
      </w:pPr>
    </w:p>
    <w:p w14:paraId="506CCEF7">
      <w:pPr>
        <w:spacing w:line="560" w:lineRule="exact"/>
      </w:pPr>
    </w:p>
    <w:p w14:paraId="0C460DB9">
      <w:pPr>
        <w:spacing w:line="560" w:lineRule="exact"/>
      </w:pPr>
    </w:p>
    <w:p w14:paraId="77772635">
      <w:pPr>
        <w:spacing w:line="560" w:lineRule="exact"/>
      </w:pPr>
    </w:p>
    <w:p w14:paraId="591224D3">
      <w:pPr>
        <w:spacing w:line="560" w:lineRule="exact"/>
      </w:pPr>
    </w:p>
    <w:p w14:paraId="57C48D3E">
      <w:pPr>
        <w:spacing w:line="560" w:lineRule="exact"/>
      </w:pPr>
    </w:p>
    <w:p w14:paraId="42549AF6">
      <w:pPr>
        <w:spacing w:line="560" w:lineRule="exact"/>
      </w:pPr>
    </w:p>
    <w:p w14:paraId="4F33F3BA">
      <w:pPr>
        <w:spacing w:line="560" w:lineRule="exact"/>
      </w:pPr>
    </w:p>
    <w:p w14:paraId="561DDED2">
      <w:pPr>
        <w:spacing w:line="560" w:lineRule="exact"/>
      </w:pPr>
    </w:p>
    <w:p w14:paraId="4B81C86F">
      <w:pPr>
        <w:spacing w:line="560" w:lineRule="exact"/>
      </w:pPr>
    </w:p>
    <w:p w14:paraId="18295898">
      <w:pPr>
        <w:spacing w:line="560" w:lineRule="exact"/>
        <w:rPr>
          <w:rFonts w:hint="eastAsia"/>
        </w:rPr>
      </w:pPr>
      <w:r>
        <w:rPr>
          <w:rFonts w:hint="eastAsia"/>
        </w:rPr>
        <w:t xml:space="preserve"> </w:t>
      </w:r>
    </w:p>
    <w:p w14:paraId="7C1E330A">
      <w:pPr>
        <w:spacing w:line="560" w:lineRule="exact"/>
        <w:rPr>
          <w:rFonts w:hint="eastAsia"/>
        </w:rPr>
      </w:pPr>
    </w:p>
    <w:p w14:paraId="3FBFECD2">
      <w:pPr>
        <w:spacing w:line="560" w:lineRule="exact"/>
        <w:rPr>
          <w:rFonts w:hint="eastAsia"/>
        </w:rPr>
      </w:pPr>
    </w:p>
    <w:p w14:paraId="5D86B713">
      <w:pPr>
        <w:topLinePunct/>
        <w:adjustRightInd w:val="0"/>
        <w:snapToGrid w:val="0"/>
        <w:spacing w:line="560" w:lineRule="exact"/>
        <w:rPr>
          <w:rFonts w:eastAsia="方正仿宋简体"/>
          <w:color w:val="000000"/>
          <w:spacing w:val="-28"/>
          <w:sz w:val="28"/>
          <w:szCs w:val="28"/>
        </w:rPr>
      </w:pPr>
      <w:r>
        <w:rPr>
          <w:rFonts w:eastAsia="方正仿宋简体"/>
          <w:color w:val="000000"/>
          <w:spacing w:val="-28"/>
          <w:sz w:val="28"/>
          <w:szCs w:val="28"/>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7620" b="952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color w:val="000000"/>
          <w:spacing w:val="-28"/>
          <w:sz w:val="28"/>
          <w:szCs w:val="28"/>
        </w:rPr>
        <w:t>抄送：</w:t>
      </w:r>
      <w:r>
        <w:rPr>
          <w:rFonts w:hint="eastAsia" w:eastAsia="方正仿宋简体"/>
          <w:color w:val="000000"/>
          <w:spacing w:val="-28"/>
          <w:sz w:val="28"/>
          <w:szCs w:val="28"/>
        </w:rPr>
        <w:t>经济技术开发区</w:t>
      </w:r>
      <w:r>
        <w:rPr>
          <w:rFonts w:eastAsia="方正仿宋简体"/>
          <w:color w:val="000000"/>
          <w:spacing w:val="-28"/>
          <w:sz w:val="28"/>
          <w:szCs w:val="28"/>
        </w:rPr>
        <w:t>，生态环境保护综合行政执法支队，阿克苏律天环保工程有限公司。</w:t>
      </w:r>
    </w:p>
    <w:p w14:paraId="704B8EEB">
      <w:pPr>
        <w:spacing w:line="560" w:lineRule="exact"/>
      </w:pPr>
      <w:r>
        <w:rPr>
          <w:rFonts w:eastAsia="方正仿宋简体"/>
          <w:sz w:val="28"/>
          <w:szCs w:val="28"/>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7620" b="952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eastAsia="方正仿宋简体"/>
          <w:sz w:val="28"/>
          <w:szCs w:val="28"/>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eastAsia="方正仿宋简体"/>
          <w:sz w:val="28"/>
          <w:szCs w:val="28"/>
        </w:rPr>
        <w:t>第一师阿拉尔市生态环境局                    2025年</w:t>
      </w:r>
      <w:r>
        <w:rPr>
          <w:rFonts w:hint="eastAsia" w:eastAsia="方正仿宋简体"/>
          <w:sz w:val="28"/>
          <w:szCs w:val="28"/>
        </w:rPr>
        <w:t>5</w:t>
      </w:r>
      <w:r>
        <w:rPr>
          <w:rFonts w:eastAsia="方正仿宋简体"/>
          <w:sz w:val="28"/>
          <w:szCs w:val="28"/>
        </w:rPr>
        <w:t>月</w:t>
      </w:r>
      <w:r>
        <w:rPr>
          <w:rFonts w:hint="eastAsia" w:eastAsia="方正仿宋简体"/>
          <w:sz w:val="28"/>
          <w:szCs w:val="28"/>
          <w:lang w:val="en-US" w:eastAsia="zh-CN"/>
        </w:rPr>
        <w:t>16</w:t>
      </w:r>
      <w:r>
        <w:rPr>
          <w:rFonts w:eastAsia="方正仿宋简体"/>
          <w:sz w:val="28"/>
          <w:szCs w:val="28"/>
        </w:rPr>
        <w:t>日印发</w:t>
      </w:r>
    </w:p>
    <w:sectPr>
      <w:headerReference r:id="rId3" w:type="default"/>
      <w:footerReference r:id="rId4" w:type="default"/>
      <w:pgSz w:w="11906" w:h="16838"/>
      <w:pgMar w:top="2098" w:right="1474" w:bottom="1985" w:left="1588" w:header="1587"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NewRoman">
    <w:altName w:val="Times New Roman"/>
    <w:panose1 w:val="00000000000000000000"/>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embedRegular r:id="rId1" w:fontKey="{EAE73F63-7940-41A6-9B94-59B628BEBD14}"/>
  </w:font>
  <w:font w:name="方正仿宋_GB2312">
    <w:panose1 w:val="02000000000000000000"/>
    <w:charset w:val="86"/>
    <w:family w:val="auto"/>
    <w:pitch w:val="default"/>
    <w:sig w:usb0="A00002BF" w:usb1="184F6CFA" w:usb2="00000012" w:usb3="00000000" w:csb0="00040001" w:csb1="00000000"/>
    <w:embedRegular r:id="rId2" w:fontKey="{C4E07E85-0BC5-475D-8E40-65CEA428C881}"/>
  </w:font>
  <w:font w:name="方正小标宋简体">
    <w:panose1 w:val="03000509000000000000"/>
    <w:charset w:val="86"/>
    <w:family w:val="auto"/>
    <w:pitch w:val="default"/>
    <w:sig w:usb0="00000001" w:usb1="080E0000" w:usb2="00000000" w:usb3="00000000" w:csb0="00040000" w:csb1="00000000"/>
    <w:embedRegular r:id="rId3" w:fontKey="{FA4962BF-9A5F-467B-9F58-B8E29104E485}"/>
  </w:font>
  <w:font w:name="方正仿宋简体">
    <w:panose1 w:val="02000000000000000000"/>
    <w:charset w:val="86"/>
    <w:family w:val="auto"/>
    <w:pitch w:val="default"/>
    <w:sig w:usb0="00000001" w:usb1="080E0000" w:usb2="00000000" w:usb3="00000000" w:csb0="00040000" w:csb1="00000000"/>
    <w:embedRegular r:id="rId4" w:fontKey="{DDCD247F-F70F-4E8A-A56B-B42CD1FC819A}"/>
  </w:font>
  <w:font w:name="方正黑体简体">
    <w:panose1 w:val="03000509000000000000"/>
    <w:charset w:val="86"/>
    <w:family w:val="auto"/>
    <w:pitch w:val="default"/>
    <w:sig w:usb0="00000001" w:usb1="080E0000" w:usb2="00000000" w:usb3="00000000" w:csb0="00040000" w:csb1="00000000"/>
    <w:embedRegular r:id="rId5" w:fontKey="{4AC8E9AB-3F4B-4CF2-83C1-6F7DE8859A57}"/>
  </w:font>
  <w:font w:name="方正楷体简体">
    <w:panose1 w:val="02000000000000000000"/>
    <w:charset w:val="86"/>
    <w:family w:val="auto"/>
    <w:pitch w:val="default"/>
    <w:sig w:usb0="00000001" w:usb1="080E0000" w:usb2="00000000" w:usb3="00000000" w:csb0="00040000" w:csb1="00000000"/>
    <w:embedRegular r:id="rId6" w:fontKey="{789063E1-2B33-4117-836C-C057DE07FB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DF121">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91BB43">
                          <w:pPr>
                            <w:pStyle w:val="13"/>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2F91BB43">
                    <w:pPr>
                      <w:pStyle w:val="13"/>
                      <w:rPr>
                        <w:rFonts w:ascii="宋体" w:hAnsi="宋体" w:cs="宋体"/>
                      </w:rPr>
                    </w:pPr>
                    <w:r>
                      <w:rPr>
                        <w:rFonts w:hint="eastAsia" w:ascii="宋体" w:hAnsi="宋体" w:cs="宋体"/>
                      </w:rPr>
                      <w:t xml:space="preserve">—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w:t>
                    </w:r>
                    <w:r>
                      <w:rPr>
                        <w:rFonts w:hint="eastAsia" w:ascii="宋体" w:hAnsi="宋体" w:cs="宋体"/>
                      </w:rPr>
                      <w:fldChar w:fldCharType="end"/>
                    </w:r>
                    <w:r>
                      <w:rPr>
                        <w:rFonts w:hint="eastAsia" w:ascii="宋体" w:hAnsi="宋体" w:cs="宋体"/>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23192">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7D102"/>
    <w:multiLevelType w:val="singleLevel"/>
    <w:tmpl w:val="69F7D102"/>
    <w:lvl w:ilvl="0" w:tentative="0">
      <w:start w:val="1"/>
      <w:numFmt w:val="decimal"/>
      <w:pStyle w:val="12"/>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577F7"/>
    <w:rsid w:val="000F1D2E"/>
    <w:rsid w:val="002A357B"/>
    <w:rsid w:val="004840B7"/>
    <w:rsid w:val="005B38F9"/>
    <w:rsid w:val="008A3AF5"/>
    <w:rsid w:val="00B96D33"/>
    <w:rsid w:val="00BA4CA6"/>
    <w:rsid w:val="00D96367"/>
    <w:rsid w:val="044C1B0E"/>
    <w:rsid w:val="052A7359"/>
    <w:rsid w:val="0885646B"/>
    <w:rsid w:val="0A7C794A"/>
    <w:rsid w:val="0AC9038D"/>
    <w:rsid w:val="0BB73761"/>
    <w:rsid w:val="0E270184"/>
    <w:rsid w:val="10CE2621"/>
    <w:rsid w:val="13BF1F8A"/>
    <w:rsid w:val="14BC55E4"/>
    <w:rsid w:val="153F4CE5"/>
    <w:rsid w:val="15D4540B"/>
    <w:rsid w:val="22F86A81"/>
    <w:rsid w:val="257C1059"/>
    <w:rsid w:val="296B4E82"/>
    <w:rsid w:val="2BE41278"/>
    <w:rsid w:val="30DC3C7C"/>
    <w:rsid w:val="34DF294B"/>
    <w:rsid w:val="36212FD7"/>
    <w:rsid w:val="37BC7885"/>
    <w:rsid w:val="394C16B1"/>
    <w:rsid w:val="39963C41"/>
    <w:rsid w:val="3C100794"/>
    <w:rsid w:val="3C9F0607"/>
    <w:rsid w:val="3D561E3B"/>
    <w:rsid w:val="428138DE"/>
    <w:rsid w:val="42B513E5"/>
    <w:rsid w:val="435B574F"/>
    <w:rsid w:val="439A254F"/>
    <w:rsid w:val="44805202"/>
    <w:rsid w:val="45B63B66"/>
    <w:rsid w:val="46671304"/>
    <w:rsid w:val="47F02414"/>
    <w:rsid w:val="48660C3D"/>
    <w:rsid w:val="487C4EE8"/>
    <w:rsid w:val="4AF13073"/>
    <w:rsid w:val="4CB27486"/>
    <w:rsid w:val="509F53B9"/>
    <w:rsid w:val="51B353FD"/>
    <w:rsid w:val="54676AEB"/>
    <w:rsid w:val="57B67C8D"/>
    <w:rsid w:val="58B27195"/>
    <w:rsid w:val="58CC72E5"/>
    <w:rsid w:val="5E6D5D9C"/>
    <w:rsid w:val="5FDE16C9"/>
    <w:rsid w:val="658F5866"/>
    <w:rsid w:val="683657FD"/>
    <w:rsid w:val="68BE34BE"/>
    <w:rsid w:val="6AE17106"/>
    <w:rsid w:val="6C9577F7"/>
    <w:rsid w:val="6CDE0BF2"/>
    <w:rsid w:val="6DA576C9"/>
    <w:rsid w:val="6F766674"/>
    <w:rsid w:val="719B7332"/>
    <w:rsid w:val="720C27E4"/>
    <w:rsid w:val="79051D26"/>
    <w:rsid w:val="796C7172"/>
    <w:rsid w:val="7CD22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after="260" w:line="413" w:lineRule="auto"/>
      <w:outlineLvl w:val="1"/>
    </w:pPr>
    <w:rPr>
      <w:rFonts w:ascii="Arial" w:hAnsi="Arial" w:eastAsia="黑体"/>
    </w:rPr>
  </w:style>
  <w:style w:type="paragraph" w:styleId="3">
    <w:name w:val="heading 3"/>
    <w:basedOn w:val="1"/>
    <w:next w:val="4"/>
    <w:qFormat/>
    <w:uiPriority w:val="9"/>
    <w:pPr>
      <w:keepNext/>
      <w:keepLines/>
      <w:spacing w:before="260" w:after="260" w:line="416" w:lineRule="auto"/>
      <w:outlineLvl w:val="2"/>
    </w:pPr>
    <w:rPr>
      <w:b/>
      <w:bCs/>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4">
    <w:name w:val="报告"/>
    <w:basedOn w:val="1"/>
    <w:qFormat/>
    <w:uiPriority w:val="0"/>
    <w:pPr>
      <w:adjustRightInd w:val="0"/>
      <w:spacing w:line="360" w:lineRule="auto"/>
      <w:ind w:firstLine="505"/>
      <w:textAlignment w:val="center"/>
    </w:pPr>
    <w:rPr>
      <w:rFonts w:ascii="TimesNewRoman" w:hAnsi="TimesNewRoman"/>
      <w:kern w:val="0"/>
      <w:szCs w:val="20"/>
    </w:rPr>
  </w:style>
  <w:style w:type="paragraph" w:styleId="5">
    <w:name w:val="Normal Indent"/>
    <w:basedOn w:val="1"/>
    <w:next w:val="1"/>
    <w:qFormat/>
    <w:uiPriority w:val="0"/>
    <w:pPr>
      <w:spacing w:line="520" w:lineRule="exact"/>
      <w:ind w:firstLine="624"/>
    </w:pPr>
    <w:rPr>
      <w:sz w:val="28"/>
      <w:szCs w:val="20"/>
    </w:rPr>
  </w:style>
  <w:style w:type="paragraph" w:styleId="6">
    <w:name w:val="annotation text"/>
    <w:basedOn w:val="1"/>
    <w:qFormat/>
    <w:uiPriority w:val="0"/>
    <w:pPr>
      <w:jc w:val="left"/>
    </w:pPr>
  </w:style>
  <w:style w:type="paragraph" w:styleId="7">
    <w:name w:val="Salutation"/>
    <w:basedOn w:val="1"/>
    <w:next w:val="1"/>
    <w:qFormat/>
    <w:uiPriority w:val="0"/>
  </w:style>
  <w:style w:type="paragraph" w:styleId="8">
    <w:name w:val="Body Text"/>
    <w:basedOn w:val="1"/>
    <w:next w:val="7"/>
    <w:qFormat/>
    <w:uiPriority w:val="0"/>
    <w:pPr>
      <w:spacing w:after="120"/>
    </w:pPr>
    <w:rPr>
      <w:kern w:val="0"/>
      <w:sz w:val="20"/>
    </w:rPr>
  </w:style>
  <w:style w:type="paragraph" w:styleId="9">
    <w:name w:val="Body Text Indent"/>
    <w:basedOn w:val="1"/>
    <w:next w:val="10"/>
    <w:qFormat/>
    <w:uiPriority w:val="0"/>
    <w:pPr>
      <w:spacing w:after="120"/>
      <w:ind w:left="420" w:leftChars="200"/>
    </w:pPr>
  </w:style>
  <w:style w:type="paragraph" w:styleId="10">
    <w:name w:val="Body Text First Indent 2"/>
    <w:basedOn w:val="9"/>
    <w:next w:val="1"/>
    <w:qFormat/>
    <w:uiPriority w:val="0"/>
    <w:pPr>
      <w:ind w:firstLine="420" w:firstLineChars="200"/>
    </w:pPr>
  </w:style>
  <w:style w:type="paragraph" w:styleId="11">
    <w:name w:val="Plain Text"/>
    <w:basedOn w:val="1"/>
    <w:next w:val="12"/>
    <w:qFormat/>
    <w:uiPriority w:val="0"/>
    <w:pPr>
      <w:spacing w:line="500" w:lineRule="exact"/>
    </w:pPr>
    <w:rPr>
      <w:rFonts w:ascii="宋体" w:hAnsi="Courier New"/>
      <w:sz w:val="28"/>
      <w:szCs w:val="21"/>
    </w:rPr>
  </w:style>
  <w:style w:type="paragraph" w:styleId="12">
    <w:name w:val="List Number 5"/>
    <w:basedOn w:val="1"/>
    <w:qFormat/>
    <w:uiPriority w:val="0"/>
    <w:pPr>
      <w:numPr>
        <w:ilvl w:val="0"/>
        <w:numId w:val="1"/>
      </w:numPr>
    </w:pPr>
  </w:style>
  <w:style w:type="paragraph" w:styleId="13">
    <w:name w:val="footer"/>
    <w:basedOn w:val="1"/>
    <w:qFormat/>
    <w:uiPriority w:val="0"/>
    <w:pPr>
      <w:tabs>
        <w:tab w:val="center" w:pos="4153"/>
        <w:tab w:val="right" w:pos="8306"/>
      </w:tabs>
      <w:snapToGrid w:val="0"/>
      <w:jc w:val="left"/>
    </w:pPr>
    <w:rPr>
      <w:sz w:val="28"/>
      <w:szCs w:val="18"/>
    </w:rPr>
  </w:style>
  <w:style w:type="paragraph" w:styleId="14">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unhideWhenUsed/>
    <w:qFormat/>
    <w:uiPriority w:val="99"/>
    <w:pPr>
      <w:spacing w:after="120" w:line="480" w:lineRule="auto"/>
    </w:pPr>
  </w:style>
  <w:style w:type="paragraph" w:customStyle="1" w:styleId="18">
    <w:name w:val="Default"/>
    <w:basedOn w:val="19"/>
    <w:qFormat/>
    <w:uiPriority w:val="0"/>
    <w:pPr>
      <w:autoSpaceDE w:val="0"/>
      <w:autoSpaceDN w:val="0"/>
    </w:pPr>
    <w:rPr>
      <w:sz w:val="24"/>
      <w:szCs w:val="24"/>
    </w:rPr>
  </w:style>
  <w:style w:type="paragraph" w:customStyle="1" w:styleId="19">
    <w:name w:val="1 表头"/>
    <w:basedOn w:val="1"/>
    <w:qFormat/>
    <w:uiPriority w:val="0"/>
    <w:pPr>
      <w:adjustRightInd w:val="0"/>
      <w:snapToGrid w:val="0"/>
      <w:jc w:val="center"/>
    </w:pPr>
    <w:rPr>
      <w:b/>
      <w:color w:val="000000"/>
      <w:szCs w:val="21"/>
    </w:rPr>
  </w:style>
  <w:style w:type="paragraph" w:customStyle="1" w:styleId="20">
    <w:name w:val="纯文本1"/>
    <w:basedOn w:val="1"/>
    <w:qFormat/>
    <w:uiPriority w:val="0"/>
    <w:pPr>
      <w:adjustRightInd w:val="0"/>
      <w:textAlignment w:val="baseline"/>
    </w:pPr>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2611</Words>
  <Characters>2825</Characters>
  <Lines>21</Lines>
  <Paragraphs>5</Paragraphs>
  <TotalTime>40</TotalTime>
  <ScaleCrop>false</ScaleCrop>
  <LinksUpToDate>false</LinksUpToDate>
  <CharactersWithSpaces>2851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2024-12-11T05:42:00Z</dcterms:created>
  <dc:creator></dc:creator>
  <cp:lastModifiedBy>明月清风晓星尘</cp:lastModifiedBy>
  <cp:lastPrinted>2025-05-15T05:04:00Z</cp:lastPrinted>
  <dcterms:modified xsi:type="dcterms:W3CDTF">2025-05-19T08:45:55Z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246E30845B0B4A74B1045F4428549601_13</vt:lpwstr>
  </property>
  <property fmtid="{D5CDD505-2E9C-101B-9397-08002B2CF9AE}" pid="4" name="KSOTemplateDocerSaveRecord">
    <vt:lpwstr>eyJoZGlkIjoiZjEzODdhZDFmYzk5ODE2MmE3OTk4OTBkMjc2NjcxZTIiLCJ1c2VySWQiOiIzNTY3MzA4ODIifQ==</vt:lpwstr>
  </property>
</Properties>
</file>