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20113B">
      <w:pPr>
        <w:spacing w:line="560" w:lineRule="exact"/>
        <w:rPr>
          <w:rFonts w:hint="eastAsia" w:eastAsia="宋体"/>
          <w:sz w:val="44"/>
          <w:szCs w:val="44"/>
          <w:lang w:val="en-US" w:eastAsia="zh-CN"/>
        </w:rPr>
      </w:pPr>
      <w:r>
        <w:rPr>
          <w:rFonts w:hint="eastAsia"/>
          <w:sz w:val="44"/>
          <w:szCs w:val="44"/>
          <w:lang w:val="en-US" w:eastAsia="zh-CN"/>
        </w:rPr>
        <w:t xml:space="preserve"> </w:t>
      </w:r>
    </w:p>
    <w:p w14:paraId="70B5B8D2">
      <w:pPr>
        <w:spacing w:line="560" w:lineRule="exact"/>
        <w:rPr>
          <w:sz w:val="44"/>
          <w:szCs w:val="44"/>
        </w:rPr>
      </w:pPr>
    </w:p>
    <w:p w14:paraId="5FC38418">
      <w:pPr>
        <w:spacing w:line="560" w:lineRule="exact"/>
        <w:rPr>
          <w:sz w:val="44"/>
          <w:szCs w:val="44"/>
        </w:rPr>
      </w:pPr>
    </w:p>
    <w:p w14:paraId="1F3D8D19">
      <w:pPr>
        <w:spacing w:line="560" w:lineRule="exact"/>
        <w:rPr>
          <w:sz w:val="44"/>
          <w:szCs w:val="44"/>
        </w:rPr>
      </w:pPr>
    </w:p>
    <w:p w14:paraId="545E7005">
      <w:pPr>
        <w:spacing w:line="560" w:lineRule="exact"/>
        <w:rPr>
          <w:sz w:val="72"/>
          <w:szCs w:val="72"/>
        </w:rPr>
      </w:pPr>
    </w:p>
    <w:p w14:paraId="6E37364B">
      <w:pPr>
        <w:spacing w:line="560" w:lineRule="exact"/>
        <w:rPr>
          <w:rFonts w:eastAsia="仿宋_GB2312"/>
          <w:sz w:val="32"/>
          <w:szCs w:val="32"/>
        </w:rPr>
      </w:pPr>
    </w:p>
    <w:p w14:paraId="69181C04">
      <w:pPr>
        <w:spacing w:line="560" w:lineRule="exact"/>
        <w:rPr>
          <w:rFonts w:eastAsia="仿宋_GB2312"/>
          <w:sz w:val="32"/>
          <w:szCs w:val="32"/>
        </w:rPr>
      </w:pPr>
    </w:p>
    <w:p w14:paraId="6E313FBF">
      <w:pPr>
        <w:spacing w:line="560" w:lineRule="exact"/>
        <w:jc w:val="center"/>
        <w:rPr>
          <w:sz w:val="32"/>
          <w:szCs w:val="32"/>
        </w:rPr>
      </w:pPr>
      <w:r>
        <w:rPr>
          <w:rFonts w:eastAsia="方正仿宋_GB2312"/>
          <w:sz w:val="32"/>
          <w:szCs w:val="32"/>
        </w:rPr>
        <w:t>师市环审〔2025〕</w:t>
      </w:r>
      <w:r>
        <w:rPr>
          <w:rFonts w:hint="eastAsia" w:eastAsia="方正仿宋_GB2312"/>
          <w:sz w:val="32"/>
          <w:szCs w:val="32"/>
          <w:lang w:val="en-US" w:eastAsia="zh-CN"/>
        </w:rPr>
        <w:t>51</w:t>
      </w:r>
      <w:r>
        <w:rPr>
          <w:rFonts w:eastAsia="方正仿宋_GB2312"/>
          <w:sz w:val="32"/>
          <w:szCs w:val="32"/>
        </w:rPr>
        <w:t>号</w:t>
      </w:r>
    </w:p>
    <w:p w14:paraId="30A0AC07">
      <w:pPr>
        <w:spacing w:line="560" w:lineRule="exact"/>
        <w:jc w:val="center"/>
        <w:rPr>
          <w:rFonts w:eastAsia="仿宋_GB2312"/>
          <w:szCs w:val="21"/>
        </w:rPr>
      </w:pPr>
    </w:p>
    <w:p w14:paraId="3E444815">
      <w:pPr>
        <w:spacing w:line="560" w:lineRule="exact"/>
        <w:jc w:val="center"/>
        <w:rPr>
          <w:rFonts w:eastAsia="仿宋_GB2312"/>
          <w:szCs w:val="21"/>
        </w:rPr>
      </w:pPr>
    </w:p>
    <w:p w14:paraId="5F8F3E41">
      <w:pPr>
        <w:widowControl/>
        <w:spacing w:line="560" w:lineRule="exact"/>
        <w:jc w:val="center"/>
        <w:rPr>
          <w:rFonts w:hint="eastAsia" w:eastAsia="方正小标宋简体"/>
          <w:bCs/>
          <w:sz w:val="44"/>
          <w:szCs w:val="44"/>
        </w:rPr>
      </w:pPr>
      <w:r>
        <w:rPr>
          <w:rFonts w:eastAsia="方正小标宋简体"/>
          <w:bCs/>
          <w:sz w:val="44"/>
          <w:szCs w:val="44"/>
        </w:rPr>
        <w:t>关于</w:t>
      </w:r>
      <w:r>
        <w:rPr>
          <w:rFonts w:hint="eastAsia" w:eastAsia="方正小标宋简体"/>
          <w:bCs/>
          <w:sz w:val="44"/>
          <w:szCs w:val="44"/>
        </w:rPr>
        <w:t>阿拉尔缘份多果汁有限公司年产</w:t>
      </w:r>
    </w:p>
    <w:p w14:paraId="74EC66CE">
      <w:pPr>
        <w:widowControl/>
        <w:spacing w:line="560" w:lineRule="exact"/>
        <w:jc w:val="center"/>
        <w:rPr>
          <w:rFonts w:hint="eastAsia" w:eastAsia="方正小标宋简体"/>
          <w:bCs/>
          <w:sz w:val="44"/>
          <w:szCs w:val="44"/>
        </w:rPr>
      </w:pPr>
      <w:r>
        <w:rPr>
          <w:rFonts w:hint="eastAsia" w:eastAsia="方正小标宋简体"/>
          <w:bCs/>
          <w:sz w:val="44"/>
          <w:szCs w:val="44"/>
        </w:rPr>
        <w:t>1.5万吨浓缩果蔬汁项目（一期）</w:t>
      </w:r>
    </w:p>
    <w:p w14:paraId="3E6BFE0E">
      <w:pPr>
        <w:widowControl/>
        <w:spacing w:line="560" w:lineRule="exact"/>
        <w:jc w:val="center"/>
        <w:rPr>
          <w:rFonts w:eastAsia="方正小标宋简体"/>
          <w:bCs/>
          <w:sz w:val="44"/>
          <w:szCs w:val="44"/>
        </w:rPr>
      </w:pPr>
      <w:r>
        <w:rPr>
          <w:rFonts w:eastAsia="方正小标宋简体"/>
          <w:bCs/>
          <w:sz w:val="44"/>
          <w:szCs w:val="44"/>
        </w:rPr>
        <w:t>环境影响报告表的批复</w:t>
      </w:r>
    </w:p>
    <w:p w14:paraId="1AB9A7EB">
      <w:pPr>
        <w:widowControl/>
        <w:spacing w:line="560" w:lineRule="exact"/>
        <w:rPr>
          <w:rFonts w:eastAsia="方正小标宋简体"/>
          <w:bCs/>
          <w:color w:val="0000FF"/>
          <w:sz w:val="44"/>
          <w:szCs w:val="44"/>
        </w:rPr>
      </w:pPr>
    </w:p>
    <w:p w14:paraId="3E38EAEC">
      <w:pPr>
        <w:widowControl/>
        <w:spacing w:line="560" w:lineRule="exact"/>
        <w:ind w:left="640" w:hanging="640" w:hangingChars="200"/>
        <w:rPr>
          <w:rFonts w:eastAsia="方正仿宋简体"/>
          <w:kern w:val="0"/>
          <w:sz w:val="32"/>
          <w:szCs w:val="32"/>
        </w:rPr>
      </w:pPr>
      <w:r>
        <w:rPr>
          <w:rFonts w:hint="eastAsia" w:eastAsia="方正仿宋简体"/>
          <w:kern w:val="0"/>
          <w:sz w:val="32"/>
          <w:szCs w:val="32"/>
        </w:rPr>
        <w:t>阿拉尔缘份多果汁有限公司</w:t>
      </w:r>
      <w:r>
        <w:rPr>
          <w:rFonts w:eastAsia="方正仿宋简体"/>
          <w:kern w:val="0"/>
          <w:sz w:val="32"/>
          <w:szCs w:val="32"/>
        </w:rPr>
        <w:t>：</w:t>
      </w:r>
    </w:p>
    <w:p w14:paraId="25DDD6A2">
      <w:pPr>
        <w:widowControl/>
        <w:spacing w:line="560" w:lineRule="exact"/>
        <w:ind w:firstLine="640" w:firstLineChars="200"/>
        <w:rPr>
          <w:rFonts w:eastAsia="方正仿宋简体"/>
          <w:kern w:val="0"/>
          <w:sz w:val="32"/>
          <w:szCs w:val="32"/>
        </w:rPr>
      </w:pPr>
      <w:r>
        <w:rPr>
          <w:rFonts w:eastAsia="方正仿宋简体"/>
          <w:sz w:val="32"/>
          <w:szCs w:val="32"/>
        </w:rPr>
        <w:t>你单位报送的《关于送审</w:t>
      </w:r>
      <w:r>
        <w:rPr>
          <w:rFonts w:hint="eastAsia" w:eastAsia="方正仿宋简体"/>
          <w:sz w:val="32"/>
          <w:szCs w:val="32"/>
        </w:rPr>
        <w:t>阿拉尔缘份多果汁有限公司年产1.5万吨浓缩果蔬汁项目（一期）</w:t>
      </w:r>
      <w:r>
        <w:rPr>
          <w:rFonts w:eastAsia="方正仿宋简体"/>
          <w:sz w:val="32"/>
          <w:szCs w:val="32"/>
        </w:rPr>
        <w:t>环境影响报告表</w:t>
      </w:r>
      <w:r>
        <w:rPr>
          <w:rFonts w:eastAsia="方正仿宋简体"/>
          <w:kern w:val="0"/>
          <w:sz w:val="32"/>
          <w:szCs w:val="32"/>
        </w:rPr>
        <w:t>的请示</w:t>
      </w:r>
      <w:r>
        <w:rPr>
          <w:rFonts w:eastAsia="方正仿宋简体"/>
          <w:sz w:val="32"/>
          <w:szCs w:val="32"/>
        </w:rPr>
        <w:t>》及《</w:t>
      </w:r>
      <w:r>
        <w:rPr>
          <w:rFonts w:hint="eastAsia" w:eastAsia="方正仿宋简体"/>
          <w:sz w:val="32"/>
          <w:szCs w:val="32"/>
        </w:rPr>
        <w:t>阿拉尔缘份多果汁有限公司年产1.5万吨浓缩果蔬汁项目（一期）</w:t>
      </w:r>
      <w:r>
        <w:rPr>
          <w:rFonts w:eastAsia="方正仿宋简体"/>
          <w:sz w:val="32"/>
          <w:szCs w:val="32"/>
        </w:rPr>
        <w:t>环境影响报告表》（以下简称《报告表》）已收悉。经专家审查和研究，现批复如下：</w:t>
      </w:r>
    </w:p>
    <w:p w14:paraId="4755334A">
      <w:pPr>
        <w:pStyle w:val="8"/>
        <w:spacing w:line="560" w:lineRule="exact"/>
        <w:ind w:firstLine="640" w:firstLineChars="200"/>
        <w:jc w:val="both"/>
        <w:rPr>
          <w:rFonts w:eastAsia="方正仿宋简体"/>
          <w:color w:val="000000"/>
          <w:kern w:val="0"/>
          <w:sz w:val="32"/>
          <w:szCs w:val="32"/>
        </w:rPr>
      </w:pPr>
      <w:r>
        <w:rPr>
          <w:rFonts w:hint="eastAsia" w:ascii="方正黑体简体" w:hAnsi="方正黑体简体" w:eastAsia="方正黑体简体" w:cs="方正黑体简体"/>
          <w:b w:val="0"/>
          <w:bCs w:val="0"/>
          <w:color w:val="000000"/>
          <w:kern w:val="0"/>
          <w:sz w:val="32"/>
          <w:szCs w:val="32"/>
        </w:rPr>
        <w:t>一</w:t>
      </w:r>
      <w:r>
        <w:rPr>
          <w:rFonts w:eastAsia="方正仿宋简体"/>
          <w:color w:val="000000"/>
          <w:kern w:val="0"/>
          <w:sz w:val="32"/>
          <w:szCs w:val="32"/>
        </w:rPr>
        <w:t>、该项</w:t>
      </w:r>
      <w:r>
        <w:rPr>
          <w:rFonts w:eastAsia="方正仿宋简体"/>
          <w:kern w:val="0"/>
          <w:sz w:val="32"/>
          <w:szCs w:val="32"/>
        </w:rPr>
        <w:t>目位于阿拉尔市</w:t>
      </w:r>
      <w:r>
        <w:rPr>
          <w:rFonts w:hint="eastAsia" w:eastAsia="方正仿宋简体"/>
          <w:kern w:val="0"/>
          <w:sz w:val="32"/>
          <w:szCs w:val="32"/>
        </w:rPr>
        <w:t>五团沙河镇</w:t>
      </w:r>
      <w:r>
        <w:rPr>
          <w:rFonts w:eastAsia="方正仿宋简体"/>
          <w:kern w:val="0"/>
          <w:sz w:val="32"/>
          <w:szCs w:val="32"/>
        </w:rPr>
        <w:t>，</w:t>
      </w:r>
      <w:r>
        <w:rPr>
          <w:rFonts w:hint="eastAsia" w:eastAsia="方正仿宋简体"/>
          <w:kern w:val="0"/>
          <w:sz w:val="32"/>
          <w:szCs w:val="32"/>
        </w:rPr>
        <w:t>占地面积64533m</w:t>
      </w:r>
      <w:r>
        <w:rPr>
          <w:rFonts w:hint="eastAsia" w:eastAsia="方正仿宋简体"/>
          <w:kern w:val="0"/>
          <w:sz w:val="32"/>
          <w:szCs w:val="32"/>
          <w:vertAlign w:val="superscript"/>
        </w:rPr>
        <w:t>2</w:t>
      </w:r>
      <w:r>
        <w:rPr>
          <w:rFonts w:eastAsia="方正仿宋简体"/>
          <w:kern w:val="0"/>
          <w:sz w:val="32"/>
          <w:szCs w:val="32"/>
        </w:rPr>
        <w:t>。</w:t>
      </w:r>
      <w:r>
        <w:rPr>
          <w:rFonts w:hint="eastAsia" w:eastAsia="方正仿宋简体"/>
          <w:kern w:val="0"/>
          <w:sz w:val="32"/>
          <w:szCs w:val="32"/>
        </w:rPr>
        <w:t>项目区东侧、南侧相邻为道路，西侧、北侧相邻均为空地，南侧隔道路约55m处为商业区</w:t>
      </w:r>
      <w:r>
        <w:rPr>
          <w:rFonts w:hint="eastAsia" w:eastAsia="方正仿宋简体"/>
          <w:kern w:val="0"/>
          <w:sz w:val="32"/>
          <w:szCs w:val="32"/>
          <w:lang w:eastAsia="zh-CN"/>
        </w:rPr>
        <w:t>，</w:t>
      </w:r>
      <w:r>
        <w:rPr>
          <w:rFonts w:eastAsia="方正仿宋简体"/>
          <w:kern w:val="0"/>
          <w:sz w:val="32"/>
          <w:szCs w:val="32"/>
        </w:rPr>
        <w:t>项目地理坐标为</w:t>
      </w:r>
      <w:r>
        <w:rPr>
          <w:rFonts w:hint="eastAsia" w:eastAsia="方正仿宋简体"/>
          <w:kern w:val="0"/>
          <w:sz w:val="32"/>
          <w:szCs w:val="32"/>
          <w:highlight w:val="none"/>
          <w:lang w:eastAsia="zh-CN"/>
        </w:rPr>
        <w:t>东经</w:t>
      </w:r>
      <w:r>
        <w:rPr>
          <w:rFonts w:hint="eastAsia" w:eastAsia="方正仿宋简体"/>
          <w:kern w:val="0"/>
          <w:sz w:val="32"/>
          <w:szCs w:val="32"/>
          <w:highlight w:val="none"/>
        </w:rPr>
        <w:t>80°46′3.453″，</w:t>
      </w:r>
      <w:r>
        <w:rPr>
          <w:rFonts w:hint="eastAsia" w:eastAsia="方正仿宋简体"/>
          <w:kern w:val="0"/>
          <w:sz w:val="32"/>
          <w:szCs w:val="32"/>
          <w:highlight w:val="none"/>
          <w:lang w:eastAsia="zh-CN"/>
        </w:rPr>
        <w:t>北纬</w:t>
      </w:r>
      <w:r>
        <w:rPr>
          <w:rFonts w:hint="eastAsia" w:eastAsia="方正仿宋简体"/>
          <w:kern w:val="0"/>
          <w:sz w:val="32"/>
          <w:szCs w:val="32"/>
          <w:highlight w:val="none"/>
        </w:rPr>
        <w:t>41°22′36.093″</w:t>
      </w:r>
      <w:r>
        <w:rPr>
          <w:rFonts w:hint="eastAsia" w:eastAsia="方正仿宋简体"/>
          <w:kern w:val="0"/>
          <w:sz w:val="32"/>
          <w:szCs w:val="32"/>
          <w:highlight w:val="none"/>
          <w:lang w:eastAsia="zh-CN"/>
        </w:rPr>
        <w:t>。</w:t>
      </w:r>
      <w:r>
        <w:rPr>
          <w:rFonts w:eastAsia="方正仿宋简体"/>
          <w:kern w:val="0"/>
          <w:sz w:val="32"/>
          <w:szCs w:val="32"/>
        </w:rPr>
        <w:t>建设内容</w:t>
      </w:r>
      <w:r>
        <w:rPr>
          <w:rFonts w:hint="eastAsia" w:eastAsia="方正仿宋简体"/>
          <w:kern w:val="0"/>
          <w:sz w:val="32"/>
          <w:szCs w:val="32"/>
          <w:lang w:val="en-US" w:eastAsia="zh-CN"/>
        </w:rPr>
        <w:t>包括新建一条浓缩果蔬汁生产线，配套建设日处理污水最大规模3000m</w:t>
      </w:r>
      <w:r>
        <w:rPr>
          <w:rFonts w:hint="eastAsia" w:eastAsia="方正仿宋简体"/>
          <w:kern w:val="0"/>
          <w:sz w:val="32"/>
          <w:szCs w:val="32"/>
          <w:vertAlign w:val="superscript"/>
          <w:lang w:val="en-US" w:eastAsia="zh-CN"/>
        </w:rPr>
        <w:t>3</w:t>
      </w:r>
      <w:r>
        <w:rPr>
          <w:rFonts w:hint="eastAsia" w:eastAsia="方正仿宋简体"/>
          <w:kern w:val="0"/>
          <w:sz w:val="32"/>
          <w:szCs w:val="32"/>
          <w:lang w:val="en-US" w:eastAsia="zh-CN"/>
        </w:rPr>
        <w:t>/d的污水处理站、7台4t/h天然气蒸汽锅炉、冷却循环机组等主体设施及配套辅助设施；生产工艺为：原料果</w:t>
      </w:r>
      <w:r>
        <w:rPr>
          <w:rFonts w:hint="default" w:ascii="Arial" w:hAnsi="Arial" w:eastAsia="方正仿宋简体" w:cs="Arial"/>
          <w:kern w:val="0"/>
          <w:sz w:val="32"/>
          <w:szCs w:val="32"/>
          <w:lang w:val="en-US" w:eastAsia="zh-CN"/>
        </w:rPr>
        <w:t>→</w:t>
      </w:r>
      <w:r>
        <w:rPr>
          <w:rFonts w:hint="eastAsia" w:eastAsia="方正仿宋简体"/>
          <w:kern w:val="0"/>
          <w:sz w:val="32"/>
          <w:szCs w:val="32"/>
          <w:lang w:val="en-US" w:eastAsia="zh-CN"/>
        </w:rPr>
        <w:t>清洗</w:t>
      </w:r>
      <w:r>
        <w:rPr>
          <w:rFonts w:hint="default" w:ascii="Arial" w:hAnsi="Arial" w:eastAsia="方正仿宋简体" w:cs="Arial"/>
          <w:kern w:val="0"/>
          <w:sz w:val="32"/>
          <w:szCs w:val="32"/>
          <w:lang w:val="en-US" w:eastAsia="zh-CN"/>
        </w:rPr>
        <w:t>→</w:t>
      </w:r>
      <w:r>
        <w:rPr>
          <w:rFonts w:hint="eastAsia" w:eastAsia="方正仿宋简体"/>
          <w:kern w:val="0"/>
          <w:sz w:val="32"/>
          <w:szCs w:val="32"/>
          <w:lang w:val="en-US" w:eastAsia="zh-CN"/>
        </w:rPr>
        <w:t>分选</w:t>
      </w:r>
      <w:r>
        <w:rPr>
          <w:rFonts w:hint="default" w:ascii="Arial" w:hAnsi="Arial" w:eastAsia="方正仿宋简体" w:cs="Arial"/>
          <w:kern w:val="0"/>
          <w:sz w:val="32"/>
          <w:szCs w:val="32"/>
          <w:lang w:val="en-US" w:eastAsia="zh-CN"/>
        </w:rPr>
        <w:t>→</w:t>
      </w:r>
      <w:r>
        <w:rPr>
          <w:rFonts w:hint="eastAsia" w:eastAsia="方正仿宋简体"/>
          <w:kern w:val="0"/>
          <w:sz w:val="32"/>
          <w:szCs w:val="32"/>
          <w:lang w:val="en-US" w:eastAsia="zh-CN"/>
        </w:rPr>
        <w:t>破碎</w:t>
      </w:r>
      <w:r>
        <w:rPr>
          <w:rFonts w:hint="default" w:ascii="Arial" w:hAnsi="Arial" w:eastAsia="方正仿宋简体" w:cs="Arial"/>
          <w:kern w:val="0"/>
          <w:sz w:val="32"/>
          <w:szCs w:val="32"/>
          <w:lang w:val="en-US" w:eastAsia="zh-CN"/>
        </w:rPr>
        <w:t>→</w:t>
      </w:r>
      <w:r>
        <w:rPr>
          <w:rFonts w:hint="eastAsia" w:eastAsia="方正仿宋简体"/>
          <w:kern w:val="0"/>
          <w:sz w:val="32"/>
          <w:szCs w:val="32"/>
          <w:lang w:val="en-US" w:eastAsia="zh-CN"/>
        </w:rPr>
        <w:t>压榨</w:t>
      </w:r>
      <w:r>
        <w:rPr>
          <w:rFonts w:hint="default" w:ascii="Arial" w:hAnsi="Arial" w:eastAsia="方正仿宋简体" w:cs="Arial"/>
          <w:kern w:val="0"/>
          <w:sz w:val="32"/>
          <w:szCs w:val="32"/>
          <w:lang w:val="en-US" w:eastAsia="zh-CN"/>
        </w:rPr>
        <w:t>→</w:t>
      </w:r>
      <w:r>
        <w:rPr>
          <w:rFonts w:hint="eastAsia" w:eastAsia="方正仿宋简体"/>
          <w:kern w:val="0"/>
          <w:sz w:val="32"/>
          <w:szCs w:val="32"/>
          <w:lang w:val="en-US" w:eastAsia="zh-CN"/>
        </w:rPr>
        <w:t>预巴杀</w:t>
      </w:r>
      <w:r>
        <w:rPr>
          <w:rFonts w:hint="default" w:ascii="Arial" w:hAnsi="Arial" w:eastAsia="方正仿宋简体" w:cs="Arial"/>
          <w:kern w:val="0"/>
          <w:sz w:val="32"/>
          <w:szCs w:val="32"/>
          <w:lang w:val="en-US" w:eastAsia="zh-CN"/>
        </w:rPr>
        <w:t>→</w:t>
      </w:r>
      <w:r>
        <w:rPr>
          <w:rFonts w:hint="eastAsia" w:eastAsia="方正仿宋简体"/>
          <w:kern w:val="0"/>
          <w:sz w:val="32"/>
          <w:szCs w:val="32"/>
          <w:lang w:val="en-US" w:eastAsia="zh-CN"/>
        </w:rPr>
        <w:t>酶解</w:t>
      </w:r>
      <w:r>
        <w:rPr>
          <w:rFonts w:hint="default" w:ascii="Arial" w:hAnsi="Arial" w:eastAsia="方正仿宋简体" w:cs="Arial"/>
          <w:kern w:val="0"/>
          <w:sz w:val="32"/>
          <w:szCs w:val="32"/>
          <w:lang w:val="en-US" w:eastAsia="zh-CN"/>
        </w:rPr>
        <w:t>→</w:t>
      </w:r>
      <w:r>
        <w:rPr>
          <w:rFonts w:hint="eastAsia" w:eastAsia="方正仿宋简体"/>
          <w:kern w:val="0"/>
          <w:sz w:val="32"/>
          <w:szCs w:val="32"/>
          <w:lang w:val="en-US" w:eastAsia="zh-CN"/>
        </w:rPr>
        <w:t>超滤</w:t>
      </w:r>
      <w:r>
        <w:rPr>
          <w:rFonts w:hint="default" w:ascii="Arial" w:hAnsi="Arial" w:eastAsia="方正仿宋简体" w:cs="Arial"/>
          <w:kern w:val="0"/>
          <w:sz w:val="32"/>
          <w:szCs w:val="32"/>
          <w:lang w:val="en-US" w:eastAsia="zh-CN"/>
        </w:rPr>
        <w:t>→</w:t>
      </w:r>
      <w:r>
        <w:rPr>
          <w:rFonts w:hint="eastAsia" w:eastAsia="方正仿宋简体"/>
          <w:kern w:val="0"/>
          <w:sz w:val="32"/>
          <w:szCs w:val="32"/>
          <w:lang w:val="en-US" w:eastAsia="zh-CN"/>
        </w:rPr>
        <w:t>树脂吸附</w:t>
      </w:r>
      <w:r>
        <w:rPr>
          <w:rFonts w:hint="default" w:ascii="Arial" w:hAnsi="Arial" w:eastAsia="方正仿宋简体" w:cs="Arial"/>
          <w:kern w:val="0"/>
          <w:sz w:val="32"/>
          <w:szCs w:val="32"/>
          <w:lang w:val="en-US" w:eastAsia="zh-CN"/>
        </w:rPr>
        <w:t>→</w:t>
      </w:r>
      <w:r>
        <w:rPr>
          <w:rFonts w:hint="eastAsia" w:eastAsia="方正仿宋简体"/>
          <w:kern w:val="0"/>
          <w:sz w:val="32"/>
          <w:szCs w:val="32"/>
          <w:lang w:val="en-US" w:eastAsia="zh-CN"/>
        </w:rPr>
        <w:t>蒸发</w:t>
      </w:r>
      <w:r>
        <w:rPr>
          <w:rFonts w:hint="default" w:ascii="Arial" w:hAnsi="Arial" w:eastAsia="方正仿宋简体" w:cs="Arial"/>
          <w:kern w:val="0"/>
          <w:sz w:val="32"/>
          <w:szCs w:val="32"/>
          <w:lang w:val="en-US" w:eastAsia="zh-CN"/>
        </w:rPr>
        <w:t>→</w:t>
      </w:r>
      <w:r>
        <w:rPr>
          <w:rFonts w:hint="eastAsia" w:eastAsia="方正仿宋简体"/>
          <w:kern w:val="0"/>
          <w:sz w:val="32"/>
          <w:szCs w:val="32"/>
          <w:lang w:val="en-US" w:eastAsia="zh-CN"/>
        </w:rPr>
        <w:t>浓缩</w:t>
      </w:r>
      <w:r>
        <w:rPr>
          <w:rFonts w:hint="default" w:ascii="Arial" w:hAnsi="Arial" w:eastAsia="方正仿宋简体" w:cs="Arial"/>
          <w:kern w:val="0"/>
          <w:sz w:val="32"/>
          <w:szCs w:val="32"/>
          <w:lang w:val="en-US" w:eastAsia="zh-CN"/>
        </w:rPr>
        <w:t>→</w:t>
      </w:r>
      <w:r>
        <w:rPr>
          <w:rFonts w:hint="eastAsia" w:eastAsia="方正仿宋简体"/>
          <w:kern w:val="0"/>
          <w:sz w:val="32"/>
          <w:szCs w:val="32"/>
          <w:lang w:val="en-US" w:eastAsia="zh-CN"/>
        </w:rPr>
        <w:t>巴杀</w:t>
      </w:r>
      <w:r>
        <w:rPr>
          <w:rFonts w:hint="default" w:ascii="Arial" w:hAnsi="Arial" w:eastAsia="方正仿宋简体" w:cs="Arial"/>
          <w:kern w:val="0"/>
          <w:sz w:val="32"/>
          <w:szCs w:val="32"/>
          <w:lang w:val="en-US" w:eastAsia="zh-CN"/>
        </w:rPr>
        <w:t>→</w:t>
      </w:r>
      <w:r>
        <w:rPr>
          <w:rFonts w:hint="eastAsia" w:eastAsia="方正仿宋简体"/>
          <w:kern w:val="0"/>
          <w:sz w:val="32"/>
          <w:szCs w:val="32"/>
          <w:lang w:val="en-US" w:eastAsia="zh-CN"/>
        </w:rPr>
        <w:t>灌装</w:t>
      </w:r>
      <w:r>
        <w:rPr>
          <w:rFonts w:hint="default" w:ascii="Arial" w:hAnsi="Arial" w:eastAsia="方正仿宋简体" w:cs="Arial"/>
          <w:kern w:val="0"/>
          <w:sz w:val="32"/>
          <w:szCs w:val="32"/>
          <w:lang w:val="en-US" w:eastAsia="zh-CN"/>
        </w:rPr>
        <w:t>→</w:t>
      </w:r>
      <w:r>
        <w:rPr>
          <w:rFonts w:hint="eastAsia" w:eastAsia="方正仿宋简体"/>
          <w:kern w:val="0"/>
          <w:sz w:val="32"/>
          <w:szCs w:val="32"/>
          <w:lang w:val="en-US" w:eastAsia="zh-CN"/>
        </w:rPr>
        <w:t>成品，</w:t>
      </w:r>
      <w:r>
        <w:rPr>
          <w:rFonts w:hint="eastAsia" w:eastAsia="方正仿宋简体"/>
          <w:color w:val="auto"/>
          <w:kern w:val="0"/>
          <w:sz w:val="32"/>
          <w:szCs w:val="32"/>
          <w:highlight w:val="none"/>
          <w:lang w:val="en-US" w:eastAsia="zh-CN"/>
        </w:rPr>
        <w:t>建成后年产浓缩果蔬汁1.5万吨。</w:t>
      </w:r>
      <w:r>
        <w:rPr>
          <w:rFonts w:hint="eastAsia" w:eastAsia="方正仿宋简体"/>
          <w:color w:val="auto"/>
          <w:kern w:val="0"/>
          <w:sz w:val="32"/>
          <w:szCs w:val="32"/>
        </w:rPr>
        <w:t>项目总投资11500万元，其中环保投资395万元，占总投资的3.43</w:t>
      </w:r>
      <w:r>
        <w:rPr>
          <w:rFonts w:hint="eastAsia" w:eastAsia="方正仿宋简体"/>
          <w:kern w:val="0"/>
          <w:sz w:val="32"/>
          <w:szCs w:val="32"/>
        </w:rPr>
        <w:t>%</w:t>
      </w:r>
      <w:r>
        <w:rPr>
          <w:rFonts w:eastAsia="方正仿宋简体"/>
          <w:color w:val="000000"/>
          <w:kern w:val="0"/>
          <w:sz w:val="32"/>
          <w:szCs w:val="32"/>
        </w:rPr>
        <w:t>。</w:t>
      </w:r>
    </w:p>
    <w:p w14:paraId="64376400">
      <w:pPr>
        <w:spacing w:line="560" w:lineRule="exact"/>
        <w:ind w:firstLine="640" w:firstLineChars="200"/>
        <w:rPr>
          <w:rFonts w:eastAsia="方正仿宋简体"/>
          <w:color w:val="000000"/>
          <w:kern w:val="0"/>
          <w:sz w:val="32"/>
          <w:szCs w:val="32"/>
        </w:rPr>
      </w:pPr>
      <w:r>
        <w:rPr>
          <w:rFonts w:hint="eastAsia" w:ascii="方正黑体简体" w:hAnsi="方正黑体简体" w:eastAsia="方正黑体简体" w:cs="方正黑体简体"/>
          <w:b w:val="0"/>
          <w:bCs w:val="0"/>
          <w:color w:val="000000"/>
          <w:kern w:val="0"/>
          <w:sz w:val="32"/>
          <w:szCs w:val="32"/>
          <w:lang w:val="en-US" w:eastAsia="zh-CN" w:bidi="ar-SA"/>
        </w:rPr>
        <w:t>二</w:t>
      </w:r>
      <w:r>
        <w:rPr>
          <w:rFonts w:eastAsia="方正仿宋简体"/>
          <w:color w:val="000000"/>
          <w:kern w:val="0"/>
          <w:sz w:val="32"/>
          <w:szCs w:val="32"/>
        </w:rPr>
        <w:t>、根据</w:t>
      </w:r>
      <w:r>
        <w:rPr>
          <w:rFonts w:hint="eastAsia" w:eastAsia="方正仿宋简体"/>
          <w:color w:val="000000"/>
          <w:kern w:val="0"/>
          <w:sz w:val="32"/>
          <w:szCs w:val="32"/>
          <w:lang w:val="en-US" w:eastAsia="zh-CN"/>
        </w:rPr>
        <w:t>乌鲁木齐亨源祥通工程技术咨询</w:t>
      </w:r>
      <w:r>
        <w:rPr>
          <w:rFonts w:eastAsia="方正仿宋简体"/>
          <w:color w:val="000000"/>
          <w:kern w:val="0"/>
          <w:sz w:val="32"/>
          <w:szCs w:val="32"/>
        </w:rPr>
        <w:t>有限公司编制的《报告表》评价结论</w:t>
      </w:r>
      <w:r>
        <w:rPr>
          <w:rFonts w:hint="eastAsia" w:eastAsia="方正仿宋简体"/>
          <w:color w:val="000000"/>
          <w:kern w:val="0"/>
          <w:sz w:val="32"/>
          <w:szCs w:val="32"/>
          <w:lang w:val="en-US" w:eastAsia="zh-CN"/>
        </w:rPr>
        <w:t>及</w:t>
      </w:r>
      <w:r>
        <w:rPr>
          <w:rFonts w:hint="eastAsia" w:ascii="宋体" w:hAnsi="宋体" w:eastAsia="方正仿宋简体"/>
          <w:kern w:val="0"/>
          <w:sz w:val="32"/>
          <w:szCs w:val="32"/>
        </w:rPr>
        <w:t>专家对项目的评价意见</w:t>
      </w:r>
      <w:r>
        <w:rPr>
          <w:rFonts w:eastAsia="方正仿宋简体"/>
          <w:color w:val="000000"/>
          <w:kern w:val="0"/>
          <w:sz w:val="32"/>
          <w:szCs w:val="32"/>
        </w:rPr>
        <w:t>，该项目为</w:t>
      </w:r>
      <w:r>
        <w:rPr>
          <w:rFonts w:hint="eastAsia" w:eastAsia="方正仿宋简体"/>
          <w:color w:val="000000"/>
          <w:kern w:val="0"/>
          <w:sz w:val="32"/>
          <w:szCs w:val="32"/>
          <w:lang w:val="en-US" w:eastAsia="zh-CN"/>
        </w:rPr>
        <w:t>农副食品加工</w:t>
      </w:r>
      <w:r>
        <w:rPr>
          <w:rFonts w:eastAsia="方正仿宋简体"/>
          <w:color w:val="000000"/>
          <w:kern w:val="0"/>
          <w:sz w:val="32"/>
          <w:szCs w:val="32"/>
        </w:rPr>
        <w:t>项目，在符合产业政策、选址符合国土空间规划等相关规划的前提下，从环境保护的角度，我局原则同意《报告表》结论。</w:t>
      </w:r>
    </w:p>
    <w:p w14:paraId="2A56AD7A">
      <w:pPr>
        <w:spacing w:line="560" w:lineRule="exact"/>
        <w:ind w:firstLine="640" w:firstLineChars="200"/>
        <w:rPr>
          <w:rFonts w:eastAsia="方正仿宋简体"/>
          <w:kern w:val="0"/>
          <w:sz w:val="32"/>
          <w:szCs w:val="32"/>
        </w:rPr>
      </w:pPr>
      <w:r>
        <w:rPr>
          <w:rFonts w:hint="eastAsia" w:ascii="方正黑体简体" w:hAnsi="方正黑体简体" w:eastAsia="方正黑体简体" w:cs="方正黑体简体"/>
          <w:b w:val="0"/>
          <w:bCs w:val="0"/>
          <w:color w:val="000000"/>
          <w:kern w:val="0"/>
          <w:sz w:val="32"/>
          <w:szCs w:val="32"/>
          <w:lang w:val="en-US" w:eastAsia="zh-CN" w:bidi="ar-SA"/>
        </w:rPr>
        <w:t>三</w:t>
      </w:r>
      <w:r>
        <w:rPr>
          <w:rFonts w:eastAsia="方正仿宋简体"/>
          <w:color w:val="000000"/>
          <w:kern w:val="0"/>
          <w:sz w:val="32"/>
          <w:szCs w:val="32"/>
        </w:rPr>
        <w:t>、</w:t>
      </w:r>
      <w:r>
        <w:rPr>
          <w:rFonts w:eastAsia="方正仿宋简体"/>
          <w:kern w:val="0"/>
          <w:sz w:val="32"/>
          <w:szCs w:val="32"/>
        </w:rPr>
        <w:t>你单位在项目</w:t>
      </w:r>
      <w:r>
        <w:rPr>
          <w:rFonts w:hint="eastAsia" w:eastAsia="方正仿宋简体"/>
          <w:kern w:val="0"/>
          <w:sz w:val="32"/>
          <w:szCs w:val="32"/>
          <w:lang w:eastAsia="zh-CN"/>
        </w:rPr>
        <w:t>建设和</w:t>
      </w:r>
      <w:r>
        <w:rPr>
          <w:rFonts w:eastAsia="方正仿宋简体"/>
          <w:kern w:val="0"/>
          <w:sz w:val="32"/>
          <w:szCs w:val="32"/>
        </w:rPr>
        <w:t>运营中，应严格执行有关环境质量标准和污染物排放标准，认真、全面落实报告表提出的各项环保对策措施和要求，确保污染物达标排放和各环境敏感点满足相应功能要求。重点做好以下工作：</w:t>
      </w:r>
    </w:p>
    <w:p w14:paraId="170496B7">
      <w:pPr>
        <w:keepNext w:val="0"/>
        <w:keepLines w:val="0"/>
        <w:pageBreakBefore w:val="0"/>
        <w:kinsoku/>
        <w:wordWrap/>
        <w:overflowPunct/>
        <w:topLinePunct w:val="0"/>
        <w:autoSpaceDE/>
        <w:autoSpaceDN/>
        <w:bidi w:val="0"/>
        <w:spacing w:line="580" w:lineRule="exact"/>
        <w:ind w:firstLine="640" w:firstLineChars="200"/>
        <w:textAlignment w:val="auto"/>
        <w:rPr>
          <w:rFonts w:ascii="宋体" w:hAnsi="宋体" w:eastAsia="方正仿宋简体"/>
          <w:kern w:val="0"/>
          <w:sz w:val="32"/>
          <w:szCs w:val="32"/>
        </w:rPr>
      </w:pPr>
      <w:r>
        <w:rPr>
          <w:rFonts w:ascii="宋体" w:hAnsi="宋体" w:eastAsia="方正楷体简体"/>
          <w:kern w:val="0"/>
          <w:sz w:val="32"/>
          <w:szCs w:val="32"/>
          <w:lang w:val="zh-CN"/>
        </w:rPr>
        <w:t>（一）</w:t>
      </w:r>
      <w:r>
        <w:rPr>
          <w:rFonts w:ascii="宋体" w:hAnsi="宋体" w:eastAsia="方正楷体简体"/>
          <w:kern w:val="0"/>
          <w:sz w:val="32"/>
          <w:szCs w:val="32"/>
        </w:rPr>
        <w:t>认真落实施工期环境保护措施。</w:t>
      </w:r>
      <w:r>
        <w:rPr>
          <w:rFonts w:ascii="宋体" w:hAnsi="宋体" w:eastAsia="方正仿宋简体"/>
          <w:kern w:val="0"/>
          <w:sz w:val="32"/>
          <w:szCs w:val="32"/>
        </w:rPr>
        <w:t>做好施工过程中的降噪、防尘、施工固废清理和水土保持、防沙治沙等生态环境保护措施，妥善处置施工废弃物、生活垃圾及生活污水。</w:t>
      </w:r>
    </w:p>
    <w:p w14:paraId="4EA1DA1F">
      <w:pPr>
        <w:pStyle w:val="16"/>
        <w:spacing w:after="0" w:line="560" w:lineRule="exact"/>
        <w:ind w:left="0" w:leftChars="0" w:firstLine="640"/>
        <w:rPr>
          <w:rFonts w:hint="eastAsia" w:eastAsia="方正仿宋简体"/>
          <w:kern w:val="0"/>
          <w:sz w:val="32"/>
          <w:szCs w:val="32"/>
          <w:lang w:eastAsia="zh-CN"/>
        </w:rPr>
      </w:pPr>
      <w:r>
        <w:rPr>
          <w:rFonts w:eastAsia="方正楷体简体"/>
          <w:kern w:val="0"/>
          <w:sz w:val="32"/>
          <w:szCs w:val="32"/>
        </w:rPr>
        <w:t>（</w:t>
      </w:r>
      <w:r>
        <w:rPr>
          <w:rFonts w:hint="eastAsia" w:eastAsia="方正楷体简体"/>
          <w:kern w:val="0"/>
          <w:sz w:val="32"/>
          <w:szCs w:val="32"/>
          <w:lang w:val="en-US" w:eastAsia="zh-CN"/>
        </w:rPr>
        <w:t>二</w:t>
      </w:r>
      <w:r>
        <w:rPr>
          <w:rFonts w:eastAsia="方正楷体简体"/>
          <w:kern w:val="0"/>
          <w:sz w:val="32"/>
          <w:szCs w:val="32"/>
        </w:rPr>
        <w:t>）严格落实大气污染防治措施。</w:t>
      </w:r>
      <w:r>
        <w:rPr>
          <w:rFonts w:eastAsia="方正仿宋简体"/>
          <w:kern w:val="0"/>
          <w:sz w:val="32"/>
          <w:szCs w:val="32"/>
        </w:rPr>
        <w:t>该项目运营期产生的废气主要为</w:t>
      </w:r>
      <w:r>
        <w:rPr>
          <w:rFonts w:hint="eastAsia" w:eastAsia="方正仿宋简体"/>
          <w:kern w:val="0"/>
          <w:sz w:val="32"/>
          <w:szCs w:val="32"/>
        </w:rPr>
        <w:t>天然气</w:t>
      </w:r>
      <w:r>
        <w:rPr>
          <w:rFonts w:hint="eastAsia" w:eastAsia="方正仿宋简体"/>
          <w:kern w:val="0"/>
          <w:sz w:val="32"/>
          <w:szCs w:val="32"/>
          <w:lang w:eastAsia="zh-CN"/>
        </w:rPr>
        <w:t>锅炉</w:t>
      </w:r>
      <w:r>
        <w:rPr>
          <w:rFonts w:hint="eastAsia" w:eastAsia="方正仿宋简体"/>
          <w:kern w:val="0"/>
          <w:sz w:val="32"/>
          <w:szCs w:val="32"/>
        </w:rPr>
        <w:t>燃烧烟气、污水处理站恶臭</w:t>
      </w:r>
      <w:r>
        <w:rPr>
          <w:rFonts w:hint="eastAsia" w:eastAsia="方正仿宋简体"/>
          <w:kern w:val="0"/>
          <w:sz w:val="32"/>
          <w:szCs w:val="32"/>
          <w:lang w:val="en-US" w:eastAsia="zh-CN"/>
        </w:rPr>
        <w:t>和</w:t>
      </w:r>
      <w:r>
        <w:rPr>
          <w:rFonts w:hint="eastAsia" w:eastAsia="方正仿宋简体"/>
          <w:kern w:val="0"/>
          <w:sz w:val="32"/>
          <w:szCs w:val="32"/>
        </w:rPr>
        <w:t>生产车间异味</w:t>
      </w:r>
      <w:r>
        <w:rPr>
          <w:rFonts w:eastAsia="方正仿宋简体"/>
          <w:kern w:val="0"/>
          <w:sz w:val="32"/>
          <w:szCs w:val="32"/>
        </w:rPr>
        <w:t>。</w:t>
      </w:r>
      <w:r>
        <w:rPr>
          <w:rFonts w:hint="eastAsia" w:eastAsia="方正仿宋简体"/>
          <w:kern w:val="0"/>
          <w:sz w:val="32"/>
          <w:szCs w:val="32"/>
        </w:rPr>
        <w:t>1~4#</w:t>
      </w:r>
      <w:r>
        <w:rPr>
          <w:rFonts w:hint="eastAsia" w:eastAsia="方正仿宋简体"/>
          <w:kern w:val="0"/>
          <w:sz w:val="32"/>
          <w:szCs w:val="32"/>
          <w:lang w:eastAsia="zh-CN"/>
        </w:rPr>
        <w:t>天然气</w:t>
      </w:r>
      <w:r>
        <w:rPr>
          <w:rFonts w:hint="eastAsia" w:eastAsia="方正仿宋简体"/>
          <w:kern w:val="0"/>
          <w:sz w:val="32"/>
          <w:szCs w:val="32"/>
        </w:rPr>
        <w:t>锅炉</w:t>
      </w:r>
      <w:r>
        <w:rPr>
          <w:rFonts w:hint="eastAsia" w:eastAsia="方正仿宋简体"/>
          <w:kern w:val="0"/>
          <w:sz w:val="32"/>
          <w:szCs w:val="32"/>
          <w:lang w:eastAsia="zh-CN"/>
        </w:rPr>
        <w:t>，</w:t>
      </w:r>
      <w:r>
        <w:rPr>
          <w:rFonts w:hint="eastAsia" w:eastAsia="方正仿宋简体"/>
          <w:kern w:val="0"/>
          <w:sz w:val="32"/>
          <w:szCs w:val="32"/>
          <w:lang w:val="en-US" w:eastAsia="zh-CN"/>
        </w:rPr>
        <w:t>5~7#</w:t>
      </w:r>
      <w:r>
        <w:rPr>
          <w:rFonts w:hint="eastAsia" w:eastAsia="方正仿宋简体"/>
          <w:kern w:val="0"/>
          <w:sz w:val="32"/>
          <w:szCs w:val="32"/>
        </w:rPr>
        <w:t>天然气</w:t>
      </w:r>
      <w:r>
        <w:rPr>
          <w:rFonts w:hint="eastAsia" w:eastAsia="方正仿宋简体"/>
          <w:kern w:val="0"/>
          <w:sz w:val="32"/>
          <w:szCs w:val="32"/>
          <w:lang w:val="en-US" w:eastAsia="zh-CN"/>
        </w:rPr>
        <w:t>锅炉</w:t>
      </w:r>
      <w:r>
        <w:rPr>
          <w:rFonts w:hint="eastAsia" w:eastAsia="方正仿宋简体"/>
          <w:kern w:val="0"/>
          <w:sz w:val="32"/>
          <w:szCs w:val="32"/>
        </w:rPr>
        <w:t>燃烧烟气</w:t>
      </w:r>
      <w:r>
        <w:rPr>
          <w:rFonts w:hint="eastAsia" w:eastAsia="方正仿宋简体"/>
          <w:kern w:val="0"/>
          <w:sz w:val="32"/>
          <w:szCs w:val="32"/>
          <w:lang w:eastAsia="zh-CN"/>
        </w:rPr>
        <w:t>分别</w:t>
      </w:r>
      <w:r>
        <w:rPr>
          <w:rFonts w:hint="eastAsia" w:eastAsia="方正仿宋简体"/>
          <w:kern w:val="0"/>
          <w:sz w:val="32"/>
          <w:szCs w:val="32"/>
          <w:lang w:val="en-US" w:eastAsia="zh-CN"/>
        </w:rPr>
        <w:t>经</w:t>
      </w:r>
      <w:r>
        <w:rPr>
          <w:rFonts w:hint="eastAsia" w:eastAsia="方正仿宋简体"/>
          <w:kern w:val="0"/>
          <w:sz w:val="32"/>
          <w:szCs w:val="32"/>
        </w:rPr>
        <w:t>低氮燃烧+烟气再循环装置</w:t>
      </w:r>
      <w:r>
        <w:rPr>
          <w:rFonts w:hint="eastAsia" w:eastAsia="方正仿宋简体"/>
          <w:kern w:val="0"/>
          <w:sz w:val="32"/>
          <w:szCs w:val="32"/>
          <w:lang w:val="en-US" w:eastAsia="zh-CN"/>
        </w:rPr>
        <w:t>处理后</w:t>
      </w:r>
      <w:r>
        <w:rPr>
          <w:rFonts w:eastAsia="方正仿宋简体"/>
          <w:kern w:val="0"/>
          <w:sz w:val="32"/>
          <w:szCs w:val="32"/>
        </w:rPr>
        <w:t>，</w:t>
      </w:r>
      <w:r>
        <w:rPr>
          <w:rFonts w:hint="eastAsia" w:eastAsia="方正仿宋简体"/>
          <w:kern w:val="0"/>
          <w:sz w:val="32"/>
          <w:szCs w:val="32"/>
          <w:lang w:val="en-US" w:eastAsia="zh-CN"/>
        </w:rPr>
        <w:t>须满足《锅炉大气污染物排放标准》（GB13271-2014）表2中新建锅炉大气污染物排放浓度限值要求</w:t>
      </w:r>
      <w:r>
        <w:rPr>
          <w:rFonts w:hint="eastAsia" w:eastAsia="方正仿宋简体"/>
          <w:kern w:val="0"/>
          <w:sz w:val="32"/>
          <w:szCs w:val="32"/>
          <w:highlight w:val="none"/>
          <w:lang w:val="en-US" w:eastAsia="zh-CN"/>
        </w:rPr>
        <w:t>后分别经两</w:t>
      </w:r>
      <w:r>
        <w:rPr>
          <w:rFonts w:hint="eastAsia" w:eastAsia="方正仿宋简体"/>
          <w:kern w:val="0"/>
          <w:sz w:val="32"/>
          <w:szCs w:val="32"/>
          <w:highlight w:val="none"/>
        </w:rPr>
        <w:t>根18</w:t>
      </w:r>
      <w:r>
        <w:rPr>
          <w:rFonts w:hint="eastAsia" w:eastAsia="方正仿宋简体"/>
          <w:kern w:val="0"/>
          <w:sz w:val="32"/>
          <w:szCs w:val="32"/>
          <w:highlight w:val="none"/>
          <w:lang w:val="en-US" w:eastAsia="zh-CN"/>
        </w:rPr>
        <w:t>.5</w:t>
      </w:r>
      <w:r>
        <w:rPr>
          <w:rFonts w:hint="eastAsia" w:eastAsia="方正仿宋简体"/>
          <w:kern w:val="0"/>
          <w:sz w:val="32"/>
          <w:szCs w:val="32"/>
          <w:highlight w:val="none"/>
        </w:rPr>
        <w:t>m高排气筒（DA001</w:t>
      </w:r>
      <w:r>
        <w:rPr>
          <w:rFonts w:hint="eastAsia" w:eastAsia="方正仿宋简体"/>
          <w:kern w:val="0"/>
          <w:sz w:val="32"/>
          <w:szCs w:val="32"/>
          <w:highlight w:val="none"/>
          <w:lang w:eastAsia="zh-CN"/>
        </w:rPr>
        <w:t>、</w:t>
      </w:r>
      <w:r>
        <w:rPr>
          <w:rFonts w:hint="eastAsia" w:eastAsia="方正仿宋简体"/>
          <w:kern w:val="0"/>
          <w:sz w:val="32"/>
          <w:szCs w:val="32"/>
          <w:highlight w:val="none"/>
        </w:rPr>
        <w:t>DA00</w:t>
      </w:r>
      <w:r>
        <w:rPr>
          <w:rFonts w:hint="eastAsia" w:eastAsia="方正仿宋简体"/>
          <w:kern w:val="0"/>
          <w:sz w:val="32"/>
          <w:szCs w:val="32"/>
          <w:highlight w:val="none"/>
          <w:lang w:val="en-US" w:eastAsia="zh-CN"/>
        </w:rPr>
        <w:t>2</w:t>
      </w:r>
      <w:r>
        <w:rPr>
          <w:rFonts w:hint="eastAsia" w:eastAsia="方正仿宋简体"/>
          <w:kern w:val="0"/>
          <w:sz w:val="32"/>
          <w:szCs w:val="32"/>
          <w:highlight w:val="none"/>
        </w:rPr>
        <w:t>）</w:t>
      </w:r>
      <w:r>
        <w:rPr>
          <w:rFonts w:hint="eastAsia" w:eastAsia="方正仿宋简体"/>
          <w:kern w:val="0"/>
          <w:sz w:val="32"/>
          <w:szCs w:val="32"/>
        </w:rPr>
        <w:t>排放</w:t>
      </w:r>
      <w:r>
        <w:rPr>
          <w:rFonts w:hint="eastAsia" w:eastAsia="方正仿宋简体"/>
          <w:kern w:val="0"/>
          <w:sz w:val="32"/>
          <w:szCs w:val="32"/>
          <w:lang w:eastAsia="zh-CN"/>
        </w:rPr>
        <w:t>。</w:t>
      </w:r>
      <w:r>
        <w:rPr>
          <w:rFonts w:hint="eastAsia" w:eastAsia="方正仿宋简体"/>
          <w:kern w:val="0"/>
          <w:sz w:val="32"/>
          <w:szCs w:val="32"/>
        </w:rPr>
        <w:t>污水处理站恶臭</w:t>
      </w:r>
      <w:r>
        <w:rPr>
          <w:rFonts w:hint="eastAsia" w:eastAsia="方正仿宋简体"/>
          <w:kern w:val="0"/>
          <w:sz w:val="32"/>
          <w:szCs w:val="32"/>
          <w:lang w:val="en-US" w:eastAsia="zh-CN"/>
        </w:rPr>
        <w:t>通过</w:t>
      </w:r>
      <w:r>
        <w:rPr>
          <w:rFonts w:hint="eastAsia" w:eastAsia="方正仿宋简体"/>
          <w:kern w:val="0"/>
          <w:sz w:val="32"/>
          <w:szCs w:val="32"/>
          <w:lang w:eastAsia="zh-CN"/>
        </w:rPr>
        <w:t>池体加盖密闭，厌氧系统密闭，池体、罐体中恶臭气体通过导管捕集入多级活性炭吸附装置进行处理后，</w:t>
      </w:r>
      <w:r>
        <w:rPr>
          <w:rFonts w:hint="eastAsia" w:eastAsia="方正仿宋简体"/>
          <w:kern w:val="0"/>
          <w:sz w:val="32"/>
          <w:szCs w:val="32"/>
          <w:lang w:val="en-US" w:eastAsia="zh-CN"/>
        </w:rPr>
        <w:t>须满足《恶臭污染物排放标准》（GB14554-93）表2要求后</w:t>
      </w:r>
      <w:r>
        <w:rPr>
          <w:rFonts w:hint="eastAsia" w:eastAsia="方正仿宋简体"/>
          <w:kern w:val="0"/>
          <w:sz w:val="32"/>
          <w:szCs w:val="32"/>
          <w:lang w:eastAsia="zh-CN"/>
        </w:rPr>
        <w:t>经一根15m</w:t>
      </w:r>
      <w:r>
        <w:rPr>
          <w:rFonts w:hint="eastAsia" w:eastAsia="方正仿宋简体"/>
          <w:kern w:val="0"/>
          <w:sz w:val="32"/>
          <w:szCs w:val="32"/>
          <w:lang w:val="en-US" w:eastAsia="zh-CN"/>
        </w:rPr>
        <w:t>高</w:t>
      </w:r>
      <w:r>
        <w:rPr>
          <w:rFonts w:hint="eastAsia" w:eastAsia="方正仿宋简体"/>
          <w:kern w:val="0"/>
          <w:sz w:val="32"/>
          <w:szCs w:val="32"/>
          <w:lang w:eastAsia="zh-CN"/>
        </w:rPr>
        <w:t>排气筒（DA00</w:t>
      </w:r>
      <w:r>
        <w:rPr>
          <w:rFonts w:hint="eastAsia" w:eastAsia="方正仿宋简体"/>
          <w:kern w:val="0"/>
          <w:sz w:val="32"/>
          <w:szCs w:val="32"/>
          <w:lang w:val="en-US" w:eastAsia="zh-CN"/>
        </w:rPr>
        <w:t>3</w:t>
      </w:r>
      <w:r>
        <w:rPr>
          <w:rFonts w:hint="eastAsia" w:eastAsia="方正仿宋简体"/>
          <w:kern w:val="0"/>
          <w:sz w:val="32"/>
          <w:szCs w:val="32"/>
          <w:lang w:eastAsia="zh-CN"/>
        </w:rPr>
        <w:t>）排放，同时污水处理区定期喷洒除臭剂并加强周边绿化降低污水处理站恶臭无组织排放的影响。</w:t>
      </w:r>
      <w:r>
        <w:rPr>
          <w:rFonts w:hint="eastAsia" w:eastAsia="方正仿宋简体"/>
          <w:kern w:val="0"/>
          <w:sz w:val="32"/>
          <w:szCs w:val="32"/>
        </w:rPr>
        <w:t>生产车间异味</w:t>
      </w:r>
      <w:r>
        <w:rPr>
          <w:rFonts w:hint="eastAsia" w:eastAsia="方正仿宋简体"/>
          <w:kern w:val="0"/>
          <w:sz w:val="32"/>
          <w:szCs w:val="32"/>
          <w:lang w:val="en-US" w:eastAsia="zh-CN"/>
        </w:rPr>
        <w:t>采取</w:t>
      </w:r>
      <w:r>
        <w:rPr>
          <w:rFonts w:hint="eastAsia" w:eastAsia="方正仿宋简体"/>
          <w:kern w:val="0"/>
          <w:sz w:val="32"/>
          <w:szCs w:val="32"/>
          <w:lang w:eastAsia="zh-CN"/>
        </w:rPr>
        <w:t>加强车间通风和及时清运果渣</w:t>
      </w:r>
      <w:r>
        <w:rPr>
          <w:rFonts w:hint="eastAsia" w:eastAsia="方正仿宋简体"/>
          <w:kern w:val="0"/>
          <w:sz w:val="32"/>
          <w:szCs w:val="32"/>
          <w:lang w:val="en-US" w:eastAsia="zh-CN"/>
        </w:rPr>
        <w:t>措施有效控制异味，确保满足《恶臭污染物排放标准》（GB14554-93）表1中二级标准要求</w:t>
      </w:r>
      <w:r>
        <w:rPr>
          <w:rFonts w:hint="eastAsia" w:eastAsia="方正仿宋简体"/>
          <w:kern w:val="0"/>
          <w:sz w:val="32"/>
          <w:szCs w:val="32"/>
          <w:lang w:eastAsia="zh-CN"/>
        </w:rPr>
        <w:t>。</w:t>
      </w:r>
    </w:p>
    <w:p w14:paraId="408F8FC2">
      <w:pPr>
        <w:spacing w:line="560" w:lineRule="exact"/>
        <w:ind w:firstLine="640"/>
        <w:rPr>
          <w:rFonts w:eastAsia="方正仿宋简体"/>
          <w:kern w:val="0"/>
          <w:sz w:val="32"/>
          <w:szCs w:val="32"/>
        </w:rPr>
      </w:pPr>
      <w:r>
        <w:rPr>
          <w:rFonts w:eastAsia="方正楷体简体"/>
          <w:kern w:val="0"/>
          <w:sz w:val="32"/>
          <w:szCs w:val="32"/>
        </w:rPr>
        <w:t>（</w:t>
      </w:r>
      <w:r>
        <w:rPr>
          <w:rFonts w:hint="eastAsia" w:eastAsia="方正楷体简体"/>
          <w:kern w:val="0"/>
          <w:sz w:val="32"/>
          <w:szCs w:val="32"/>
          <w:lang w:val="en-US" w:eastAsia="zh-CN"/>
        </w:rPr>
        <w:t>三</w:t>
      </w:r>
      <w:r>
        <w:rPr>
          <w:rFonts w:eastAsia="方正楷体简体"/>
          <w:kern w:val="0"/>
          <w:sz w:val="32"/>
          <w:szCs w:val="32"/>
        </w:rPr>
        <w:t>）严格落实水污染防治措施。</w:t>
      </w:r>
      <w:r>
        <w:rPr>
          <w:rFonts w:eastAsia="方正仿宋简体"/>
          <w:kern w:val="0"/>
          <w:sz w:val="32"/>
          <w:szCs w:val="32"/>
        </w:rPr>
        <w:t>该项目运营期产生的废水主要为</w:t>
      </w:r>
      <w:r>
        <w:rPr>
          <w:rFonts w:hint="eastAsia" w:eastAsia="方正仿宋简体"/>
          <w:kern w:val="0"/>
          <w:sz w:val="32"/>
          <w:szCs w:val="32"/>
        </w:rPr>
        <w:t>苹果清洗废水、锅炉排污水、软水制备系统废水、设备冲洗废水、工艺过程排水、纯水制备系统浓水</w:t>
      </w:r>
      <w:r>
        <w:rPr>
          <w:rFonts w:hint="eastAsia" w:eastAsia="方正仿宋简体"/>
          <w:kern w:val="0"/>
          <w:sz w:val="32"/>
          <w:szCs w:val="32"/>
          <w:lang w:eastAsia="zh-CN"/>
        </w:rPr>
        <w:t>、</w:t>
      </w:r>
      <w:r>
        <w:rPr>
          <w:rFonts w:hint="eastAsia" w:eastAsia="方正仿宋简体"/>
          <w:kern w:val="0"/>
          <w:sz w:val="32"/>
          <w:szCs w:val="32"/>
        </w:rPr>
        <w:t>厂房冲洗废水</w:t>
      </w:r>
      <w:r>
        <w:rPr>
          <w:rFonts w:hint="eastAsia" w:eastAsia="方正仿宋简体"/>
          <w:kern w:val="0"/>
          <w:sz w:val="32"/>
          <w:szCs w:val="32"/>
          <w:lang w:val="en-US" w:eastAsia="zh-CN"/>
        </w:rPr>
        <w:t>等生产废水及生活污水。生产</w:t>
      </w:r>
      <w:r>
        <w:rPr>
          <w:rFonts w:hint="eastAsia" w:eastAsia="方正仿宋简体"/>
          <w:kern w:val="0"/>
          <w:sz w:val="32"/>
          <w:szCs w:val="32"/>
        </w:rPr>
        <w:t>废水经污水处理站</w:t>
      </w:r>
      <w:r>
        <w:rPr>
          <w:rFonts w:hint="eastAsia" w:eastAsia="方正仿宋简体"/>
          <w:kern w:val="0"/>
          <w:sz w:val="32"/>
          <w:szCs w:val="32"/>
          <w:lang w:eastAsia="zh-CN"/>
        </w:rPr>
        <w:t>（</w:t>
      </w:r>
      <w:r>
        <w:rPr>
          <w:rFonts w:hint="eastAsia" w:eastAsia="方正仿宋简体"/>
          <w:kern w:val="0"/>
          <w:sz w:val="32"/>
          <w:szCs w:val="32"/>
          <w:lang w:val="en-US" w:eastAsia="zh-CN"/>
        </w:rPr>
        <w:t>格栅+微滤机+调节池+UASB厌氧反应+A/O生化反应）</w:t>
      </w:r>
      <w:r>
        <w:rPr>
          <w:rFonts w:hint="eastAsia" w:eastAsia="方正仿宋简体"/>
          <w:kern w:val="0"/>
          <w:sz w:val="32"/>
          <w:szCs w:val="32"/>
        </w:rPr>
        <w:t>处理达标后</w:t>
      </w:r>
      <w:r>
        <w:rPr>
          <w:rFonts w:hint="eastAsia" w:eastAsia="方正仿宋简体"/>
          <w:kern w:val="0"/>
          <w:sz w:val="32"/>
          <w:szCs w:val="32"/>
          <w:highlight w:val="none"/>
          <w:lang w:eastAsia="zh-CN"/>
        </w:rPr>
        <w:t>，</w:t>
      </w:r>
      <w:r>
        <w:rPr>
          <w:rFonts w:hint="eastAsia" w:eastAsia="方正仿宋简体"/>
          <w:kern w:val="0"/>
          <w:sz w:val="32"/>
          <w:szCs w:val="32"/>
          <w:highlight w:val="none"/>
          <w:lang w:val="en-US" w:eastAsia="zh-CN"/>
        </w:rPr>
        <w:t>须满足</w:t>
      </w:r>
      <w:r>
        <w:rPr>
          <w:rFonts w:hint="eastAsia" w:eastAsia="方正仿宋简体"/>
          <w:kern w:val="0"/>
          <w:sz w:val="32"/>
          <w:szCs w:val="32"/>
          <w:highlight w:val="none"/>
        </w:rPr>
        <w:t>《污水综合排放标准》（GB8978-1996）中表4的三级排放标准</w:t>
      </w:r>
      <w:r>
        <w:rPr>
          <w:rFonts w:hint="eastAsia" w:eastAsia="方正仿宋简体"/>
          <w:kern w:val="0"/>
          <w:sz w:val="32"/>
          <w:szCs w:val="32"/>
          <w:highlight w:val="none"/>
          <w:lang w:val="en-US" w:eastAsia="zh-CN"/>
        </w:rPr>
        <w:t>后</w:t>
      </w:r>
      <w:r>
        <w:rPr>
          <w:rFonts w:hint="eastAsia" w:eastAsia="方正仿宋简体"/>
          <w:kern w:val="0"/>
          <w:sz w:val="32"/>
          <w:szCs w:val="32"/>
          <w:highlight w:val="none"/>
        </w:rPr>
        <w:t>排入市政污水管网；</w:t>
      </w:r>
      <w:r>
        <w:rPr>
          <w:rFonts w:hint="eastAsia" w:eastAsia="方正仿宋简体"/>
          <w:kern w:val="0"/>
          <w:sz w:val="32"/>
          <w:szCs w:val="32"/>
        </w:rPr>
        <w:t>生活污水经化粪池收集后排入市政污水管网</w:t>
      </w:r>
      <w:r>
        <w:rPr>
          <w:rFonts w:eastAsia="方正仿宋简体"/>
          <w:kern w:val="0"/>
          <w:sz w:val="32"/>
          <w:szCs w:val="32"/>
        </w:rPr>
        <w:t>。</w:t>
      </w:r>
    </w:p>
    <w:p w14:paraId="4289FDF4">
      <w:pPr>
        <w:pStyle w:val="7"/>
        <w:adjustRightInd w:val="0"/>
        <w:snapToGrid w:val="0"/>
        <w:spacing w:line="560" w:lineRule="exact"/>
        <w:ind w:firstLine="640" w:firstLineChars="200"/>
        <w:rPr>
          <w:rFonts w:eastAsia="方正仿宋简体"/>
          <w:kern w:val="0"/>
          <w:sz w:val="32"/>
          <w:szCs w:val="32"/>
        </w:rPr>
      </w:pPr>
      <w:r>
        <w:rPr>
          <w:rFonts w:eastAsia="方正楷体简体"/>
          <w:kern w:val="0"/>
          <w:sz w:val="32"/>
          <w:szCs w:val="32"/>
        </w:rPr>
        <w:t>（</w:t>
      </w:r>
      <w:r>
        <w:rPr>
          <w:rFonts w:hint="eastAsia" w:eastAsia="方正楷体简体"/>
          <w:kern w:val="0"/>
          <w:sz w:val="32"/>
          <w:szCs w:val="32"/>
          <w:lang w:eastAsia="zh-CN"/>
        </w:rPr>
        <w:t>四</w:t>
      </w:r>
      <w:r>
        <w:rPr>
          <w:rFonts w:eastAsia="方正楷体简体"/>
          <w:kern w:val="0"/>
          <w:sz w:val="32"/>
          <w:szCs w:val="32"/>
        </w:rPr>
        <w:t>）严格落实噪声污染防治措施。</w:t>
      </w:r>
      <w:r>
        <w:rPr>
          <w:rFonts w:eastAsia="方正仿宋简体"/>
          <w:kern w:val="0"/>
          <w:sz w:val="32"/>
          <w:szCs w:val="32"/>
        </w:rPr>
        <w:t>项目噪声主要来自</w:t>
      </w:r>
      <w:r>
        <w:rPr>
          <w:rFonts w:hint="eastAsia" w:eastAsia="方正仿宋简体"/>
          <w:kern w:val="0"/>
          <w:sz w:val="32"/>
          <w:szCs w:val="32"/>
        </w:rPr>
        <w:t>生产线设备、循环水站设备、污水处理站设备、锅炉房设备及其他生产辅助设备运行噪声</w:t>
      </w:r>
      <w:r>
        <w:rPr>
          <w:rFonts w:eastAsia="方正仿宋简体"/>
          <w:kern w:val="0"/>
          <w:sz w:val="32"/>
          <w:szCs w:val="32"/>
        </w:rPr>
        <w:t>。通过</w:t>
      </w:r>
      <w:r>
        <w:rPr>
          <w:rFonts w:hint="eastAsia" w:eastAsia="方正仿宋简体"/>
          <w:kern w:val="0"/>
          <w:sz w:val="32"/>
          <w:szCs w:val="32"/>
        </w:rPr>
        <w:t>选用低噪音设备，优化选型，从源头上进行噪声防治</w:t>
      </w:r>
      <w:r>
        <w:rPr>
          <w:rFonts w:hint="eastAsia" w:eastAsia="方正仿宋简体"/>
          <w:kern w:val="0"/>
          <w:sz w:val="32"/>
          <w:szCs w:val="32"/>
          <w:lang w:eastAsia="zh-CN"/>
        </w:rPr>
        <w:t>；</w:t>
      </w:r>
      <w:r>
        <w:rPr>
          <w:rFonts w:hint="eastAsia" w:eastAsia="方正仿宋简体"/>
          <w:kern w:val="0"/>
          <w:sz w:val="32"/>
          <w:szCs w:val="32"/>
        </w:rPr>
        <w:t>对风机采用消声弯头进行消声处理；在设备底座设置混凝土减振基础，同时安装高效减振器</w:t>
      </w:r>
      <w:r>
        <w:rPr>
          <w:rFonts w:hint="eastAsia" w:eastAsia="方正仿宋简体"/>
          <w:kern w:val="0"/>
          <w:sz w:val="32"/>
          <w:szCs w:val="32"/>
          <w:lang w:eastAsia="zh-CN"/>
        </w:rPr>
        <w:t>；</w:t>
      </w:r>
      <w:r>
        <w:rPr>
          <w:rFonts w:hint="eastAsia" w:eastAsia="方正仿宋简体"/>
          <w:kern w:val="0"/>
          <w:sz w:val="32"/>
          <w:szCs w:val="32"/>
        </w:rPr>
        <w:t>加强设备的维护保养，使设备运转正常，避免设备故障引起的突发噪声</w:t>
      </w:r>
      <w:r>
        <w:rPr>
          <w:rFonts w:eastAsia="方正仿宋简体"/>
          <w:kern w:val="0"/>
          <w:sz w:val="32"/>
          <w:szCs w:val="32"/>
        </w:rPr>
        <w:t>，确保厂界四周噪声排放满足</w:t>
      </w:r>
      <w:r>
        <w:rPr>
          <w:rFonts w:hint="eastAsia" w:eastAsia="方正仿宋简体"/>
          <w:kern w:val="0"/>
          <w:sz w:val="32"/>
          <w:szCs w:val="32"/>
        </w:rPr>
        <w:t>《工业企业厂界环境噪声排放标准》（GB12348-2008）中2类区限值</w:t>
      </w:r>
      <w:r>
        <w:rPr>
          <w:rFonts w:hint="eastAsia" w:eastAsia="方正仿宋简体"/>
          <w:kern w:val="0"/>
          <w:sz w:val="32"/>
          <w:szCs w:val="32"/>
          <w:lang w:val="en-US" w:eastAsia="zh-CN"/>
        </w:rPr>
        <w:t>要求</w:t>
      </w:r>
      <w:r>
        <w:rPr>
          <w:rFonts w:eastAsia="方正仿宋简体"/>
          <w:kern w:val="0"/>
          <w:sz w:val="32"/>
          <w:szCs w:val="32"/>
        </w:rPr>
        <w:t>。</w:t>
      </w:r>
    </w:p>
    <w:p w14:paraId="5B7B4B00">
      <w:pPr>
        <w:pStyle w:val="7"/>
        <w:adjustRightInd w:val="0"/>
        <w:snapToGrid w:val="0"/>
        <w:spacing w:line="560" w:lineRule="exact"/>
        <w:ind w:firstLine="640" w:firstLineChars="200"/>
        <w:rPr>
          <w:rFonts w:eastAsia="方正仿宋简体"/>
          <w:kern w:val="0"/>
          <w:sz w:val="32"/>
          <w:szCs w:val="32"/>
        </w:rPr>
      </w:pPr>
      <w:r>
        <w:rPr>
          <w:rFonts w:eastAsia="方正楷体简体"/>
          <w:kern w:val="0"/>
          <w:sz w:val="32"/>
          <w:szCs w:val="32"/>
        </w:rPr>
        <w:t>（</w:t>
      </w:r>
      <w:r>
        <w:rPr>
          <w:rFonts w:hint="eastAsia" w:eastAsia="方正楷体简体"/>
          <w:kern w:val="0"/>
          <w:sz w:val="32"/>
          <w:szCs w:val="32"/>
          <w:lang w:val="en-US" w:eastAsia="zh-CN"/>
        </w:rPr>
        <w:t>五</w:t>
      </w:r>
      <w:r>
        <w:rPr>
          <w:rFonts w:eastAsia="方正楷体简体"/>
          <w:kern w:val="0"/>
          <w:sz w:val="32"/>
          <w:szCs w:val="32"/>
        </w:rPr>
        <w:t>）严格落实固体废物分类处置措施。</w:t>
      </w:r>
      <w:r>
        <w:rPr>
          <w:rFonts w:eastAsia="方正仿宋简体"/>
          <w:kern w:val="0"/>
          <w:sz w:val="32"/>
          <w:szCs w:val="32"/>
        </w:rPr>
        <w:t>该项目运营期产生的固废主要为</w:t>
      </w:r>
      <w:r>
        <w:rPr>
          <w:rFonts w:hint="eastAsia" w:eastAsia="方正仿宋简体"/>
          <w:kern w:val="0"/>
          <w:sz w:val="32"/>
          <w:szCs w:val="32"/>
          <w:lang w:val="en-US" w:eastAsia="zh-CN"/>
        </w:rPr>
        <w:t>废活性炭、</w:t>
      </w:r>
      <w:r>
        <w:rPr>
          <w:rFonts w:hint="eastAsia" w:eastAsia="方正仿宋简体"/>
          <w:kern w:val="0"/>
          <w:sz w:val="32"/>
          <w:szCs w:val="32"/>
        </w:rPr>
        <w:t>废机油及废机油桶</w:t>
      </w:r>
      <w:r>
        <w:rPr>
          <w:rFonts w:eastAsia="方正仿宋简体"/>
          <w:kern w:val="0"/>
          <w:sz w:val="32"/>
          <w:szCs w:val="32"/>
        </w:rPr>
        <w:t>等危险废物；</w:t>
      </w:r>
      <w:r>
        <w:rPr>
          <w:rFonts w:hint="eastAsia" w:eastAsia="方正仿宋简体"/>
          <w:kern w:val="0"/>
          <w:sz w:val="32"/>
          <w:szCs w:val="32"/>
        </w:rPr>
        <w:t>烂果、果渣、废滤材、废离子交换树脂、污泥</w:t>
      </w:r>
      <w:r>
        <w:rPr>
          <w:rFonts w:eastAsia="方正仿宋简体"/>
          <w:kern w:val="0"/>
          <w:sz w:val="32"/>
          <w:szCs w:val="32"/>
        </w:rPr>
        <w:t>等一般固体废物和生活垃圾。</w:t>
      </w:r>
      <w:r>
        <w:rPr>
          <w:rFonts w:hint="eastAsia" w:eastAsia="方正仿宋简体"/>
          <w:kern w:val="0"/>
          <w:sz w:val="32"/>
          <w:szCs w:val="32"/>
          <w:lang w:val="en-US" w:eastAsia="zh-CN"/>
        </w:rPr>
        <w:t>废活性炭、</w:t>
      </w:r>
      <w:r>
        <w:rPr>
          <w:rFonts w:hint="eastAsia" w:eastAsia="方正仿宋简体"/>
          <w:kern w:val="0"/>
          <w:sz w:val="32"/>
          <w:szCs w:val="32"/>
        </w:rPr>
        <w:t>废机油及废机油桶</w:t>
      </w:r>
      <w:r>
        <w:rPr>
          <w:rFonts w:eastAsia="方正仿宋简体"/>
          <w:kern w:val="0"/>
          <w:sz w:val="32"/>
          <w:szCs w:val="32"/>
        </w:rPr>
        <w:t>等危险废物</w:t>
      </w:r>
      <w:r>
        <w:rPr>
          <w:rFonts w:hint="eastAsia" w:eastAsia="方正仿宋简体"/>
          <w:kern w:val="0"/>
          <w:sz w:val="32"/>
          <w:szCs w:val="32"/>
        </w:rPr>
        <w:t>暂存于厂区危险废物暂存间内，定期委托有资质的单位处置，危险废物的收集、贮存、运输须符合《危险废物收集 贮存 运输技术规范》（HJ 2025-2012）及《危险废物贮存污染控制标准》（GB18597-2023）的相关要求</w:t>
      </w:r>
      <w:r>
        <w:rPr>
          <w:rFonts w:eastAsia="方正仿宋简体"/>
          <w:kern w:val="0"/>
          <w:sz w:val="32"/>
          <w:szCs w:val="32"/>
        </w:rPr>
        <w:t>；</w:t>
      </w:r>
      <w:r>
        <w:rPr>
          <w:rFonts w:hint="eastAsia" w:eastAsia="方正仿宋简体"/>
          <w:kern w:val="0"/>
          <w:sz w:val="32"/>
          <w:szCs w:val="32"/>
        </w:rPr>
        <w:t>烂果与果渣一同收集，定期外售作饲料使用</w:t>
      </w:r>
      <w:r>
        <w:rPr>
          <w:rFonts w:hint="eastAsia" w:eastAsia="方正仿宋简体"/>
          <w:kern w:val="0"/>
          <w:sz w:val="32"/>
          <w:szCs w:val="32"/>
          <w:lang w:eastAsia="zh-CN"/>
        </w:rPr>
        <w:t>；废滤材、</w:t>
      </w:r>
      <w:r>
        <w:rPr>
          <w:rFonts w:hint="eastAsia" w:eastAsia="方正仿宋简体"/>
          <w:kern w:val="0"/>
          <w:sz w:val="32"/>
          <w:szCs w:val="32"/>
          <w:lang w:val="en-US" w:eastAsia="zh-CN"/>
        </w:rPr>
        <w:t>废离子交换树脂</w:t>
      </w:r>
      <w:r>
        <w:rPr>
          <w:rFonts w:hint="eastAsia" w:eastAsia="方正仿宋简体"/>
          <w:kern w:val="0"/>
          <w:sz w:val="32"/>
          <w:szCs w:val="32"/>
          <w:lang w:eastAsia="zh-CN"/>
        </w:rPr>
        <w:t>于一般固废暂存区暂存，</w:t>
      </w:r>
      <w:r>
        <w:rPr>
          <w:rFonts w:hint="eastAsia" w:eastAsia="方正仿宋简体"/>
          <w:kern w:val="0"/>
          <w:sz w:val="32"/>
          <w:szCs w:val="32"/>
          <w:lang w:val="en-US" w:eastAsia="zh-CN"/>
        </w:rPr>
        <w:t>污水处理站污泥定期清掏并经板框压滤机脱水含水率低于60%后拉运至五团生活垃圾填埋场填埋处置；生活垃圾经垃圾桶收集后交由环卫部门定期清运</w:t>
      </w:r>
      <w:r>
        <w:rPr>
          <w:rFonts w:eastAsia="方正仿宋简体"/>
          <w:kern w:val="0"/>
          <w:sz w:val="32"/>
          <w:szCs w:val="32"/>
        </w:rPr>
        <w:t>。</w:t>
      </w:r>
    </w:p>
    <w:p w14:paraId="572B3DB0">
      <w:pPr>
        <w:pStyle w:val="7"/>
        <w:adjustRightInd w:val="0"/>
        <w:snapToGrid w:val="0"/>
        <w:spacing w:line="560" w:lineRule="exact"/>
        <w:ind w:firstLine="640" w:firstLineChars="200"/>
      </w:pPr>
      <w:r>
        <w:rPr>
          <w:rFonts w:eastAsia="方正楷体简体"/>
          <w:kern w:val="0"/>
          <w:sz w:val="32"/>
          <w:szCs w:val="32"/>
        </w:rPr>
        <w:t>（</w:t>
      </w:r>
      <w:r>
        <w:rPr>
          <w:rFonts w:hint="eastAsia" w:eastAsia="方正楷体简体"/>
          <w:kern w:val="0"/>
          <w:sz w:val="32"/>
          <w:szCs w:val="32"/>
          <w:lang w:val="en-US" w:eastAsia="zh-CN"/>
        </w:rPr>
        <w:t>六</w:t>
      </w:r>
      <w:r>
        <w:rPr>
          <w:rFonts w:eastAsia="方正楷体简体"/>
          <w:kern w:val="0"/>
          <w:sz w:val="32"/>
          <w:szCs w:val="32"/>
        </w:rPr>
        <w:t>）加强项目环境风险防范。</w:t>
      </w:r>
      <w:r>
        <w:rPr>
          <w:rFonts w:eastAsia="方正仿宋简体"/>
          <w:kern w:val="0"/>
          <w:sz w:val="32"/>
          <w:szCs w:val="32"/>
        </w:rPr>
        <w:t>建立严格的环境风险管理制度，认真落实报告表提出的各项风险防范措施；制定相关应急预案，编制《突发环境事件应急预案》报生态环境主管部门备案，确保不发生环境污染事故；做好和</w:t>
      </w:r>
      <w:r>
        <w:rPr>
          <w:rFonts w:hint="eastAsia" w:eastAsia="方正仿宋简体"/>
          <w:kern w:val="0"/>
          <w:sz w:val="32"/>
          <w:szCs w:val="32"/>
          <w:lang w:eastAsia="zh-CN"/>
        </w:rPr>
        <w:t>阿拉尔市</w:t>
      </w:r>
      <w:r>
        <w:rPr>
          <w:rFonts w:eastAsia="方正仿宋简体"/>
          <w:kern w:val="0"/>
          <w:sz w:val="32"/>
          <w:szCs w:val="32"/>
        </w:rPr>
        <w:t>环境应急预案的衔接，定期开展突发环境事件应急演练，及时对环境应急预案进行完善。</w:t>
      </w:r>
    </w:p>
    <w:p w14:paraId="13C62135">
      <w:pPr>
        <w:spacing w:line="560" w:lineRule="exact"/>
        <w:ind w:firstLine="640" w:firstLineChars="200"/>
        <w:rPr>
          <w:rFonts w:eastAsia="方正仿宋简体"/>
          <w:bCs/>
          <w:color w:val="000000"/>
          <w:sz w:val="32"/>
          <w:szCs w:val="48"/>
          <w:lang w:val="zh-CN"/>
        </w:rPr>
      </w:pPr>
      <w:r>
        <w:rPr>
          <w:rFonts w:eastAsia="方正楷体简体"/>
          <w:kern w:val="0"/>
          <w:sz w:val="32"/>
          <w:szCs w:val="32"/>
          <w:lang w:val="zh-CN"/>
        </w:rPr>
        <w:t>（</w:t>
      </w:r>
      <w:r>
        <w:rPr>
          <w:rFonts w:hint="eastAsia" w:eastAsia="方正楷体简体"/>
          <w:kern w:val="0"/>
          <w:sz w:val="32"/>
          <w:szCs w:val="32"/>
          <w:lang w:val="en-US" w:eastAsia="zh-CN"/>
        </w:rPr>
        <w:t>七</w:t>
      </w:r>
      <w:r>
        <w:rPr>
          <w:rFonts w:eastAsia="方正楷体简体"/>
          <w:kern w:val="0"/>
          <w:sz w:val="32"/>
          <w:szCs w:val="32"/>
          <w:lang w:val="zh-CN"/>
        </w:rPr>
        <w:t>）严格落实地下水污染防治措施。</w:t>
      </w:r>
      <w:r>
        <w:rPr>
          <w:rFonts w:eastAsia="方正仿宋简体"/>
          <w:bCs/>
          <w:color w:val="000000"/>
          <w:sz w:val="32"/>
          <w:szCs w:val="48"/>
        </w:rPr>
        <w:t>项目区划分为重点防渗区、一般防渗区和简单防渗区。</w:t>
      </w:r>
      <w:r>
        <w:rPr>
          <w:rFonts w:eastAsia="方正仿宋简体"/>
          <w:bCs/>
          <w:color w:val="000000"/>
          <w:sz w:val="32"/>
          <w:szCs w:val="48"/>
          <w:lang w:val="zh-CN"/>
        </w:rPr>
        <w:t>重点防渗区主要包括</w:t>
      </w:r>
      <w:r>
        <w:rPr>
          <w:rFonts w:hint="eastAsia" w:eastAsia="方正仿宋简体"/>
          <w:bCs/>
          <w:color w:val="000000"/>
          <w:sz w:val="32"/>
          <w:szCs w:val="48"/>
          <w:lang w:val="zh-CN"/>
        </w:rPr>
        <w:t>危废暂存间</w:t>
      </w:r>
      <w:r>
        <w:rPr>
          <w:rFonts w:eastAsia="方正仿宋简体"/>
          <w:bCs/>
          <w:color w:val="000000"/>
          <w:sz w:val="32"/>
          <w:szCs w:val="48"/>
          <w:lang w:val="zh-CN"/>
        </w:rPr>
        <w:t>，</w:t>
      </w:r>
      <w:r>
        <w:rPr>
          <w:rFonts w:hint="eastAsia" w:eastAsia="方正仿宋简体"/>
          <w:bCs/>
          <w:color w:val="000000"/>
          <w:sz w:val="32"/>
          <w:szCs w:val="48"/>
          <w:lang w:val="zh-CN"/>
        </w:rPr>
        <w:t>执行《危险废物贮存污染控制标准》（GB18597-2023）中要求：直接接触地面时防渗层至少1m厚黏土层（渗透系数不大于10</w:t>
      </w:r>
      <w:r>
        <w:rPr>
          <w:rFonts w:hint="eastAsia" w:eastAsia="方正仿宋简体"/>
          <w:bCs/>
          <w:color w:val="000000"/>
          <w:sz w:val="32"/>
          <w:szCs w:val="48"/>
          <w:vertAlign w:val="superscript"/>
          <w:lang w:val="zh-CN"/>
        </w:rPr>
        <w:t>-7</w:t>
      </w:r>
      <w:r>
        <w:rPr>
          <w:rFonts w:hint="eastAsia" w:eastAsia="方正仿宋简体"/>
          <w:bCs/>
          <w:color w:val="000000"/>
          <w:sz w:val="32"/>
          <w:szCs w:val="48"/>
          <w:lang w:val="zh-CN"/>
        </w:rPr>
        <w:t>cm/s）或2mm厚高密度聚乙烯膜等人工防渗材料（渗透系数不大于10</w:t>
      </w:r>
      <w:r>
        <w:rPr>
          <w:rFonts w:hint="eastAsia" w:eastAsia="方正仿宋简体"/>
          <w:bCs/>
          <w:color w:val="000000"/>
          <w:sz w:val="32"/>
          <w:szCs w:val="48"/>
          <w:vertAlign w:val="superscript"/>
          <w:lang w:val="zh-CN"/>
        </w:rPr>
        <w:t>-10</w:t>
      </w:r>
      <w:r>
        <w:rPr>
          <w:rFonts w:hint="eastAsia" w:eastAsia="方正仿宋简体"/>
          <w:bCs/>
          <w:color w:val="000000"/>
          <w:sz w:val="32"/>
          <w:szCs w:val="48"/>
          <w:lang w:val="zh-CN"/>
        </w:rPr>
        <w:t>cm/s）或其他等效材料；设置专用容器储存危废的前提下采取抗渗混凝土或等效措施</w:t>
      </w:r>
      <w:r>
        <w:rPr>
          <w:rFonts w:eastAsia="方正仿宋简体"/>
          <w:bCs/>
          <w:color w:val="000000"/>
          <w:sz w:val="32"/>
          <w:szCs w:val="48"/>
        </w:rPr>
        <w:t>；</w:t>
      </w:r>
      <w:r>
        <w:rPr>
          <w:rFonts w:eastAsia="方正仿宋简体"/>
          <w:bCs/>
          <w:color w:val="000000"/>
          <w:sz w:val="32"/>
          <w:szCs w:val="48"/>
          <w:lang w:val="zh-CN"/>
        </w:rPr>
        <w:t>一般防渗区</w:t>
      </w:r>
      <w:r>
        <w:rPr>
          <w:rFonts w:eastAsia="方正仿宋简体"/>
          <w:bCs/>
          <w:color w:val="000000"/>
          <w:sz w:val="32"/>
          <w:szCs w:val="48"/>
        </w:rPr>
        <w:t>为</w:t>
      </w:r>
      <w:r>
        <w:rPr>
          <w:rFonts w:hint="eastAsia" w:eastAsia="方正仿宋简体"/>
          <w:bCs/>
          <w:color w:val="000000"/>
          <w:sz w:val="32"/>
          <w:szCs w:val="48"/>
        </w:rPr>
        <w:t>生产车间、出渣车间</w:t>
      </w:r>
      <w:r>
        <w:rPr>
          <w:rFonts w:hint="eastAsia" w:eastAsia="方正仿宋简体"/>
          <w:bCs/>
          <w:color w:val="000000"/>
          <w:sz w:val="32"/>
          <w:szCs w:val="48"/>
          <w:lang w:eastAsia="zh-CN"/>
        </w:rPr>
        <w:t>、化粪池、污水处理站及污水收集系统</w:t>
      </w:r>
      <w:r>
        <w:rPr>
          <w:rFonts w:eastAsia="方正仿宋简体"/>
          <w:bCs/>
          <w:color w:val="000000"/>
          <w:sz w:val="32"/>
          <w:szCs w:val="48"/>
          <w:lang w:val="zh-CN"/>
        </w:rPr>
        <w:t>，</w:t>
      </w:r>
      <w:r>
        <w:rPr>
          <w:rFonts w:hint="eastAsia" w:eastAsia="方正仿宋简体"/>
          <w:bCs/>
          <w:color w:val="000000"/>
          <w:sz w:val="32"/>
          <w:szCs w:val="48"/>
          <w:lang w:val="zh-CN"/>
        </w:rPr>
        <w:t>等效黏土防渗层Mb≥1.5m，K≤1×10</w:t>
      </w:r>
      <w:r>
        <w:rPr>
          <w:rFonts w:hint="eastAsia" w:eastAsia="方正仿宋简体"/>
          <w:bCs/>
          <w:color w:val="000000"/>
          <w:sz w:val="32"/>
          <w:szCs w:val="48"/>
          <w:vertAlign w:val="superscript"/>
          <w:lang w:val="zh-CN"/>
        </w:rPr>
        <w:t>-7</w:t>
      </w:r>
      <w:r>
        <w:rPr>
          <w:rFonts w:hint="eastAsia" w:eastAsia="方正仿宋简体"/>
          <w:bCs/>
          <w:color w:val="000000"/>
          <w:sz w:val="32"/>
          <w:szCs w:val="48"/>
          <w:lang w:val="zh-CN"/>
        </w:rPr>
        <w:t>cm/s；或参照GB16889执行</w:t>
      </w:r>
      <w:r>
        <w:rPr>
          <w:rFonts w:eastAsia="方正仿宋简体"/>
          <w:bCs/>
          <w:color w:val="000000"/>
          <w:sz w:val="32"/>
          <w:szCs w:val="48"/>
          <w:lang w:val="zh-CN"/>
        </w:rPr>
        <w:t>；简单防渗区</w:t>
      </w:r>
      <w:r>
        <w:rPr>
          <w:rFonts w:eastAsia="方正仿宋简体"/>
          <w:bCs/>
          <w:color w:val="000000"/>
          <w:sz w:val="32"/>
          <w:szCs w:val="48"/>
        </w:rPr>
        <w:t>主要为</w:t>
      </w:r>
      <w:r>
        <w:rPr>
          <w:rFonts w:hint="eastAsia" w:eastAsia="方正仿宋简体"/>
          <w:bCs/>
          <w:color w:val="000000"/>
          <w:sz w:val="32"/>
          <w:szCs w:val="48"/>
        </w:rPr>
        <w:t>道路、原料库房、锅炉房、循环水站、综合办公楼等非生产区硬化场地</w:t>
      </w:r>
      <w:r>
        <w:rPr>
          <w:rFonts w:eastAsia="方正仿宋简体"/>
          <w:bCs/>
          <w:color w:val="000000"/>
          <w:sz w:val="32"/>
          <w:szCs w:val="48"/>
        </w:rPr>
        <w:t>，</w:t>
      </w:r>
      <w:r>
        <w:rPr>
          <w:rFonts w:eastAsia="方正仿宋简体"/>
          <w:bCs/>
          <w:color w:val="000000"/>
          <w:sz w:val="32"/>
          <w:szCs w:val="48"/>
          <w:lang w:val="zh-CN"/>
        </w:rPr>
        <w:t>仅</w:t>
      </w:r>
      <w:r>
        <w:rPr>
          <w:rFonts w:hint="eastAsia" w:eastAsia="方正仿宋简体"/>
          <w:bCs/>
          <w:color w:val="000000"/>
          <w:sz w:val="32"/>
          <w:szCs w:val="48"/>
          <w:lang w:val="zh-CN"/>
        </w:rPr>
        <w:t>一般混凝土硬化</w:t>
      </w:r>
      <w:r>
        <w:rPr>
          <w:rFonts w:eastAsia="方正仿宋简体"/>
          <w:bCs/>
          <w:color w:val="000000"/>
          <w:sz w:val="32"/>
          <w:szCs w:val="48"/>
          <w:lang w:val="zh-CN"/>
        </w:rPr>
        <w:t>。</w:t>
      </w:r>
    </w:p>
    <w:p w14:paraId="78611E16">
      <w:pPr>
        <w:spacing w:line="560" w:lineRule="exact"/>
        <w:ind w:firstLine="640" w:firstLineChars="200"/>
        <w:rPr>
          <w:rFonts w:eastAsia="方正仿宋简体"/>
          <w:color w:val="000000"/>
          <w:kern w:val="0"/>
          <w:sz w:val="32"/>
          <w:szCs w:val="32"/>
        </w:rPr>
      </w:pPr>
      <w:r>
        <w:rPr>
          <w:rFonts w:hint="eastAsia" w:ascii="方正黑体简体" w:hAnsi="方正黑体简体" w:eastAsia="方正黑体简体" w:cs="方正黑体简体"/>
          <w:b w:val="0"/>
          <w:bCs w:val="0"/>
          <w:color w:val="000000"/>
          <w:kern w:val="0"/>
          <w:sz w:val="32"/>
          <w:szCs w:val="32"/>
          <w:lang w:val="en-US" w:eastAsia="zh-CN" w:bidi="ar-SA"/>
        </w:rPr>
        <w:t>四</w:t>
      </w:r>
      <w:r>
        <w:rPr>
          <w:rFonts w:eastAsia="方正仿宋简体"/>
          <w:color w:val="000000"/>
          <w:kern w:val="0"/>
          <w:sz w:val="32"/>
          <w:szCs w:val="32"/>
        </w:rPr>
        <w:t>、项目建设必须严格执行配套的环境保护设施与主体工程同时设计、同时施工、同时投产使用的环境保护“三同时”制度。施工招标文件和施工合同招标文件中应明确环保条款和责任，项目竣工后，须按规定程序实施竣工环境保护验收。</w:t>
      </w:r>
    </w:p>
    <w:p w14:paraId="72A7E4DF">
      <w:pPr>
        <w:pStyle w:val="16"/>
        <w:spacing w:after="0" w:line="560" w:lineRule="exact"/>
        <w:ind w:left="0" w:leftChars="0" w:firstLine="640"/>
        <w:rPr>
          <w:rFonts w:hint="eastAsia" w:eastAsia="方正仿宋简体"/>
          <w:color w:val="000000"/>
          <w:kern w:val="0"/>
          <w:sz w:val="32"/>
          <w:szCs w:val="32"/>
          <w:lang w:val="en-US" w:eastAsia="zh-CN"/>
        </w:rPr>
      </w:pPr>
      <w:r>
        <w:rPr>
          <w:rFonts w:hint="eastAsia" w:ascii="方正黑体简体" w:hAnsi="方正黑体简体" w:eastAsia="方正黑体简体" w:cs="方正黑体简体"/>
          <w:b w:val="0"/>
          <w:bCs w:val="0"/>
          <w:color w:val="000000"/>
          <w:kern w:val="0"/>
          <w:sz w:val="32"/>
          <w:szCs w:val="32"/>
          <w:lang w:val="en-US" w:eastAsia="zh-CN" w:bidi="ar-SA"/>
        </w:rPr>
        <w:t>五</w:t>
      </w:r>
      <w:r>
        <w:rPr>
          <w:rFonts w:hint="eastAsia" w:eastAsia="方正仿宋简体"/>
          <w:color w:val="000000"/>
          <w:kern w:val="0"/>
          <w:sz w:val="32"/>
          <w:szCs w:val="32"/>
          <w:lang w:val="en-US" w:eastAsia="zh-CN"/>
        </w:rPr>
        <w:t>、根据《中华人民共和国环境影响评价法》等相关环保法律法规的规定，若项目性质、规模、地点、采用的防治污染、防止生态破坏的措施等发生重大变化的，应依法重新报批环评文件。自批准之日起超过5年方决定该项目开工建设的，其环评文件应当报我局重新审核。</w:t>
      </w:r>
    </w:p>
    <w:p w14:paraId="034A2F15">
      <w:pPr>
        <w:pStyle w:val="16"/>
        <w:spacing w:after="0" w:line="560" w:lineRule="exact"/>
        <w:ind w:left="0" w:leftChars="0" w:firstLine="640"/>
        <w:rPr>
          <w:rFonts w:hint="eastAsia" w:eastAsia="方正仿宋简体"/>
          <w:color w:val="000000"/>
          <w:kern w:val="0"/>
          <w:sz w:val="32"/>
          <w:szCs w:val="32"/>
          <w:lang w:val="en-US" w:eastAsia="zh-CN"/>
        </w:rPr>
      </w:pPr>
      <w:r>
        <w:rPr>
          <w:rFonts w:hint="eastAsia" w:ascii="方正黑体简体" w:hAnsi="方正黑体简体" w:eastAsia="方正黑体简体" w:cs="方正黑体简体"/>
          <w:b w:val="0"/>
          <w:bCs w:val="0"/>
          <w:color w:val="000000"/>
          <w:kern w:val="0"/>
          <w:sz w:val="32"/>
          <w:szCs w:val="32"/>
          <w:lang w:val="en-US" w:eastAsia="zh-CN" w:bidi="ar-SA"/>
        </w:rPr>
        <w:t>六</w:t>
      </w:r>
      <w:r>
        <w:rPr>
          <w:rFonts w:hint="eastAsia" w:eastAsia="方正仿宋简体"/>
          <w:color w:val="000000"/>
          <w:kern w:val="0"/>
          <w:sz w:val="32"/>
          <w:szCs w:val="32"/>
          <w:lang w:val="en-US" w:eastAsia="zh-CN"/>
        </w:rPr>
        <w:t>、在启动生产设施或者在实际排污之前，按照经批准的环境影响评价文件认真梳理并确认各项环境保护措施落实后，依法申领或变更排污许可，按照排污许可要求制定自行监测制度。</w:t>
      </w:r>
    </w:p>
    <w:p w14:paraId="20561367">
      <w:pPr>
        <w:pStyle w:val="16"/>
        <w:spacing w:after="0" w:line="560" w:lineRule="exact"/>
        <w:ind w:left="0" w:leftChars="0" w:firstLine="640"/>
        <w:rPr>
          <w:rFonts w:eastAsia="方正仿宋简体"/>
          <w:kern w:val="0"/>
          <w:sz w:val="32"/>
          <w:szCs w:val="32"/>
        </w:rPr>
      </w:pPr>
      <w:r>
        <w:rPr>
          <w:rFonts w:hint="eastAsia" w:ascii="方正黑体简体" w:hAnsi="方正黑体简体" w:eastAsia="方正黑体简体" w:cs="方正黑体简体"/>
          <w:b w:val="0"/>
          <w:bCs w:val="0"/>
          <w:color w:val="000000"/>
          <w:kern w:val="0"/>
          <w:sz w:val="32"/>
          <w:szCs w:val="32"/>
          <w:lang w:val="en-US" w:eastAsia="zh-CN" w:bidi="ar-SA"/>
        </w:rPr>
        <w:t>七</w:t>
      </w:r>
      <w:r>
        <w:rPr>
          <w:rFonts w:hint="eastAsia" w:eastAsia="方正仿宋简体"/>
          <w:color w:val="000000"/>
          <w:kern w:val="0"/>
          <w:sz w:val="32"/>
          <w:szCs w:val="32"/>
          <w:lang w:val="en-US" w:eastAsia="zh-CN"/>
        </w:rPr>
        <w:t>、五</w:t>
      </w:r>
      <w:r>
        <w:rPr>
          <w:rFonts w:eastAsia="方正仿宋简体"/>
          <w:color w:val="000000"/>
          <w:kern w:val="0"/>
          <w:sz w:val="32"/>
          <w:szCs w:val="32"/>
        </w:rPr>
        <w:t>团</w:t>
      </w:r>
      <w:r>
        <w:rPr>
          <w:rFonts w:hint="eastAsia" w:eastAsia="方正仿宋简体"/>
          <w:color w:val="000000"/>
          <w:kern w:val="0"/>
          <w:sz w:val="32"/>
          <w:szCs w:val="32"/>
          <w:lang w:val="en-US" w:eastAsia="zh-CN"/>
        </w:rPr>
        <w:t>沙河</w:t>
      </w:r>
      <w:r>
        <w:rPr>
          <w:rFonts w:eastAsia="方正仿宋简体"/>
          <w:color w:val="000000"/>
          <w:kern w:val="0"/>
          <w:sz w:val="32"/>
          <w:szCs w:val="32"/>
        </w:rPr>
        <w:t>镇积极发挥政府职能，做好该项目环境保护管理工作，师市</w:t>
      </w:r>
      <w:r>
        <w:rPr>
          <w:rFonts w:eastAsia="方正仿宋简体"/>
          <w:kern w:val="0"/>
          <w:sz w:val="32"/>
          <w:szCs w:val="32"/>
        </w:rPr>
        <w:t>生态环境保护综合行政执法支队做好该项目的抽查日常监督管理工作。</w:t>
      </w:r>
    </w:p>
    <w:p w14:paraId="51782322">
      <w:pPr>
        <w:pStyle w:val="16"/>
        <w:spacing w:after="0" w:line="560" w:lineRule="exact"/>
        <w:ind w:left="0" w:leftChars="0" w:firstLine="640"/>
        <w:rPr>
          <w:rFonts w:eastAsia="方正仿宋简体"/>
          <w:kern w:val="0"/>
          <w:sz w:val="32"/>
          <w:szCs w:val="32"/>
        </w:rPr>
      </w:pPr>
      <w:r>
        <w:rPr>
          <w:rFonts w:eastAsia="方正仿宋简体"/>
          <w:kern w:val="0"/>
          <w:sz w:val="32"/>
          <w:szCs w:val="32"/>
        </w:rPr>
        <w:t>如你单位对本审批决定有不同意见，可在接到本决定书之日起六十日内向阿拉尔市人民政府申请行政复议，也可在六个月内依法向阿拉尔垦区人民法院起诉。</w:t>
      </w:r>
    </w:p>
    <w:p w14:paraId="3EB81932">
      <w:pPr>
        <w:pStyle w:val="4"/>
        <w:spacing w:before="0" w:after="0" w:line="560" w:lineRule="exact"/>
        <w:rPr>
          <w:rFonts w:ascii="Times New Roman" w:hAnsi="Times New Roman"/>
        </w:rPr>
      </w:pPr>
    </w:p>
    <w:p w14:paraId="0FE89A52">
      <w:pPr>
        <w:spacing w:line="560" w:lineRule="exact"/>
      </w:pPr>
    </w:p>
    <w:p w14:paraId="771F8443">
      <w:pPr>
        <w:widowControl/>
        <w:spacing w:line="560" w:lineRule="exact"/>
        <w:ind w:firstLine="4800" w:firstLineChars="1500"/>
        <w:rPr>
          <w:rFonts w:eastAsia="方正仿宋简体"/>
          <w:kern w:val="0"/>
          <w:sz w:val="32"/>
          <w:szCs w:val="32"/>
        </w:rPr>
      </w:pPr>
      <w:r>
        <w:rPr>
          <w:rFonts w:eastAsia="方正仿宋简体"/>
          <w:kern w:val="0"/>
          <w:sz w:val="32"/>
          <w:szCs w:val="32"/>
        </w:rPr>
        <w:t>第一师阿拉尔市生态环境局</w:t>
      </w:r>
    </w:p>
    <w:p w14:paraId="34C7A67A">
      <w:pPr>
        <w:widowControl/>
        <w:spacing w:line="560" w:lineRule="exact"/>
        <w:ind w:firstLine="5600" w:firstLineChars="1750"/>
        <w:rPr>
          <w:rFonts w:eastAsia="方正仿宋简体"/>
          <w:kern w:val="0"/>
          <w:sz w:val="32"/>
          <w:szCs w:val="32"/>
        </w:rPr>
      </w:pPr>
      <w:r>
        <w:rPr>
          <w:rFonts w:eastAsia="方正仿宋简体"/>
          <w:kern w:val="0"/>
          <w:sz w:val="32"/>
          <w:szCs w:val="32"/>
        </w:rPr>
        <w:t>2025年</w:t>
      </w:r>
      <w:r>
        <w:rPr>
          <w:rFonts w:hint="eastAsia" w:eastAsia="方正仿宋简体"/>
          <w:kern w:val="0"/>
          <w:sz w:val="32"/>
          <w:szCs w:val="32"/>
          <w:lang w:val="en-US" w:eastAsia="zh-CN"/>
        </w:rPr>
        <w:t>5</w:t>
      </w:r>
      <w:r>
        <w:rPr>
          <w:rFonts w:eastAsia="方正仿宋简体"/>
          <w:kern w:val="0"/>
          <w:sz w:val="32"/>
          <w:szCs w:val="32"/>
        </w:rPr>
        <w:t>月</w:t>
      </w:r>
      <w:r>
        <w:rPr>
          <w:rFonts w:hint="eastAsia" w:eastAsia="方正仿宋简体"/>
          <w:kern w:val="0"/>
          <w:sz w:val="32"/>
          <w:szCs w:val="32"/>
          <w:lang w:val="en-US" w:eastAsia="zh-CN"/>
        </w:rPr>
        <w:t>15</w:t>
      </w:r>
      <w:r>
        <w:rPr>
          <w:rFonts w:eastAsia="方正仿宋简体"/>
          <w:kern w:val="0"/>
          <w:sz w:val="32"/>
          <w:szCs w:val="32"/>
        </w:rPr>
        <w:t>日</w:t>
      </w:r>
    </w:p>
    <w:p w14:paraId="67570075">
      <w:pPr>
        <w:pStyle w:val="4"/>
        <w:spacing w:before="0" w:after="0" w:line="560" w:lineRule="exact"/>
        <w:rPr>
          <w:rFonts w:ascii="Times New Roman" w:hAnsi="Times New Roman"/>
        </w:rPr>
      </w:pPr>
    </w:p>
    <w:p w14:paraId="1B25BF3F">
      <w:pPr>
        <w:spacing w:line="560" w:lineRule="exact"/>
      </w:pPr>
    </w:p>
    <w:p w14:paraId="36879BA8">
      <w:pPr>
        <w:spacing w:line="560" w:lineRule="exact"/>
      </w:pPr>
    </w:p>
    <w:p w14:paraId="4E8C2D84">
      <w:pPr>
        <w:spacing w:line="560" w:lineRule="exact"/>
      </w:pPr>
    </w:p>
    <w:p w14:paraId="19922B51">
      <w:pPr>
        <w:spacing w:line="560" w:lineRule="exact"/>
      </w:pPr>
    </w:p>
    <w:p w14:paraId="4FDB6D4F">
      <w:pPr>
        <w:spacing w:line="560" w:lineRule="exact"/>
      </w:pPr>
    </w:p>
    <w:p w14:paraId="7E4BCBC8">
      <w:pPr>
        <w:spacing w:line="560" w:lineRule="exact"/>
      </w:pPr>
    </w:p>
    <w:p w14:paraId="207A3F76">
      <w:pPr>
        <w:spacing w:line="560" w:lineRule="exact"/>
      </w:pPr>
    </w:p>
    <w:p w14:paraId="6C4D8379">
      <w:pPr>
        <w:pStyle w:val="2"/>
      </w:pPr>
    </w:p>
    <w:p w14:paraId="37D03D7D"/>
    <w:p w14:paraId="215F7352">
      <w:pPr>
        <w:keepNext w:val="0"/>
        <w:keepLines w:val="0"/>
        <w:pageBreakBefore w:val="0"/>
        <w:widowControl w:val="0"/>
        <w:kinsoku/>
        <w:wordWrap/>
        <w:overflowPunct/>
        <w:topLinePunct/>
        <w:autoSpaceDE/>
        <w:autoSpaceDN/>
        <w:bidi w:val="0"/>
        <w:adjustRightInd w:val="0"/>
        <w:snapToGrid w:val="0"/>
        <w:spacing w:line="560" w:lineRule="exact"/>
        <w:ind w:left="560" w:hanging="560" w:hangingChars="250"/>
        <w:textAlignment w:val="auto"/>
        <w:rPr>
          <w:rFonts w:eastAsia="方正仿宋简体"/>
          <w:color w:val="000000"/>
          <w:spacing w:val="-28"/>
          <w:sz w:val="28"/>
          <w:szCs w:val="28"/>
        </w:rPr>
      </w:pPr>
      <w:r>
        <w:rPr>
          <w:rFonts w:eastAsia="方正仿宋简体"/>
          <w:color w:val="000000"/>
          <w:spacing w:val="-28"/>
          <w:sz w:val="28"/>
          <w:szCs w:val="28"/>
        </w:rPr>
        <mc:AlternateContent>
          <mc:Choice Requires="wps">
            <w:drawing>
              <wp:anchor distT="0" distB="0" distL="114300" distR="114300" simplePos="0" relativeHeight="251659264" behindDoc="0" locked="0" layoutInCell="1" allowOverlap="1">
                <wp:simplePos x="0" y="0"/>
                <wp:positionH relativeFrom="column">
                  <wp:posOffset>-105410</wp:posOffset>
                </wp:positionH>
                <wp:positionV relativeFrom="paragraph">
                  <wp:posOffset>67310</wp:posOffset>
                </wp:positionV>
                <wp:extent cx="5802630" cy="0"/>
                <wp:effectExtent l="0" t="9525" r="7620" b="9525"/>
                <wp:wrapNone/>
                <wp:docPr id="6" name="直接连接符 6"/>
                <wp:cNvGraphicFramePr/>
                <a:graphic xmlns:a="http://schemas.openxmlformats.org/drawingml/2006/main">
                  <a:graphicData uri="http://schemas.microsoft.com/office/word/2010/wordprocessingShape">
                    <wps:wsp>
                      <wps:cNvCnPr/>
                      <wps:spPr>
                        <a:xfrm>
                          <a:off x="0" y="0"/>
                          <a:ext cx="580263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8.3pt;margin-top:5.3pt;height:0pt;width:456.9pt;z-index:251659264;mso-width-relative:page;mso-height-relative:page;" filled="f" stroked="t" coordsize="21600,21600" o:gfxdata="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cCoI9NYAAAAJAQAADwAAAAAAAAABACAAAAAiAAAAZHJzL2Rvd25yZXYueG1sUEsBAhQAFAAA&#10;AAgAh07iQF5pMUfxAQAA5wMAAA4AAAAAAAAAAQAgAAAAJQEAAGRycy9lMm9Eb2MueG1sUEsFBgAA&#10;AAAGAAYAWQEAAIgFAAAAAA==&#10;">
                <v:fill on="f" focussize="0,0"/>
                <v:stroke weight="1.5pt" color="#000000" joinstyle="round"/>
                <v:imagedata o:title=""/>
                <o:lock v:ext="edit" aspectratio="f"/>
              </v:line>
            </w:pict>
          </mc:Fallback>
        </mc:AlternateContent>
      </w:r>
      <w:r>
        <w:rPr>
          <w:rFonts w:eastAsia="方正仿宋简体"/>
          <w:color w:val="000000"/>
          <w:spacing w:val="-28"/>
          <w:sz w:val="28"/>
          <w:szCs w:val="28"/>
        </w:rPr>
        <w:t>抄送：</w:t>
      </w:r>
      <w:r>
        <w:rPr>
          <w:rFonts w:hint="eastAsia" w:eastAsia="方正仿宋简体"/>
          <w:color w:val="000000"/>
          <w:spacing w:val="-28"/>
          <w:sz w:val="28"/>
          <w:szCs w:val="28"/>
          <w:lang w:val="en-US" w:eastAsia="zh-CN"/>
        </w:rPr>
        <w:t>五</w:t>
      </w:r>
      <w:r>
        <w:rPr>
          <w:rFonts w:eastAsia="方正仿宋简体"/>
          <w:color w:val="000000"/>
          <w:spacing w:val="-28"/>
          <w:sz w:val="28"/>
          <w:szCs w:val="28"/>
        </w:rPr>
        <w:t>团</w:t>
      </w:r>
      <w:r>
        <w:rPr>
          <w:rFonts w:hint="eastAsia" w:eastAsia="方正仿宋简体"/>
          <w:color w:val="000000"/>
          <w:spacing w:val="-28"/>
          <w:sz w:val="28"/>
          <w:szCs w:val="28"/>
          <w:lang w:val="en-US" w:eastAsia="zh-CN"/>
        </w:rPr>
        <w:t>沙河</w:t>
      </w:r>
      <w:r>
        <w:rPr>
          <w:rFonts w:eastAsia="方正仿宋简体"/>
          <w:color w:val="000000"/>
          <w:spacing w:val="-28"/>
          <w:sz w:val="28"/>
          <w:szCs w:val="28"/>
        </w:rPr>
        <w:t>镇，生态环境保护综合行政执法支队，</w:t>
      </w:r>
      <w:r>
        <w:rPr>
          <w:rFonts w:hint="eastAsia" w:eastAsia="方正仿宋简体"/>
          <w:color w:val="000000"/>
          <w:spacing w:val="-28"/>
          <w:sz w:val="28"/>
          <w:szCs w:val="28"/>
        </w:rPr>
        <w:t>乌鲁木齐亨源祥通工程技术咨询有限公司</w:t>
      </w:r>
      <w:r>
        <w:rPr>
          <w:rFonts w:eastAsia="方正仿宋简体"/>
          <w:color w:val="000000"/>
          <w:spacing w:val="-28"/>
          <w:sz w:val="28"/>
          <w:szCs w:val="28"/>
        </w:rPr>
        <w:t>。</w:t>
      </w:r>
    </w:p>
    <w:p w14:paraId="38103123">
      <w:pPr>
        <w:spacing w:line="560" w:lineRule="exact"/>
      </w:pPr>
      <w:r>
        <w:rPr>
          <w:rFonts w:eastAsia="方正仿宋简体"/>
          <w:sz w:val="28"/>
          <w:szCs w:val="28"/>
        </w:rPr>
        <mc:AlternateContent>
          <mc:Choice Requires="wps">
            <w:drawing>
              <wp:anchor distT="0" distB="0" distL="114300" distR="114300" simplePos="0" relativeHeight="251660288" behindDoc="0" locked="0" layoutInCell="1" allowOverlap="1">
                <wp:simplePos x="0" y="0"/>
                <wp:positionH relativeFrom="column">
                  <wp:posOffset>-47625</wp:posOffset>
                </wp:positionH>
                <wp:positionV relativeFrom="paragraph">
                  <wp:posOffset>375285</wp:posOffset>
                </wp:positionV>
                <wp:extent cx="5802630" cy="0"/>
                <wp:effectExtent l="0" t="9525" r="7620" b="9525"/>
                <wp:wrapNone/>
                <wp:docPr id="8" name="直接连接符 8"/>
                <wp:cNvGraphicFramePr/>
                <a:graphic xmlns:a="http://schemas.openxmlformats.org/drawingml/2006/main">
                  <a:graphicData uri="http://schemas.microsoft.com/office/word/2010/wordprocessingShape">
                    <wps:wsp>
                      <wps:cNvCnPr/>
                      <wps:spPr>
                        <a:xfrm>
                          <a:off x="0" y="0"/>
                          <a:ext cx="580263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3.75pt;margin-top:29.55pt;height:0pt;width:456.9pt;z-index:251660288;mso-width-relative:page;mso-height-relative:page;" filled="f" stroked="t" coordsize="21600,21600" o:gfxdata="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ODoZZdYAAAAIAQAADwAAAAAAAAABACAAAAAiAAAAZHJzL2Rvd25yZXYueG1sUEsBAhQAFAAA&#10;AAgAh07iQPJIL/PxAQAA5wMAAA4AAAAAAAAAAQAgAAAAJQEAAGRycy9lMm9Eb2MueG1sUEsFBgAA&#10;AAAGAAYAWQEAAIgFAAAAAA==&#10;">
                <v:fill on="f" focussize="0,0"/>
                <v:stroke weight="1.5pt" color="#000000" joinstyle="round"/>
                <v:imagedata o:title=""/>
                <o:lock v:ext="edit" aspectratio="f"/>
              </v:line>
            </w:pict>
          </mc:Fallback>
        </mc:AlternateContent>
      </w:r>
      <w:r>
        <w:rPr>
          <w:rFonts w:eastAsia="方正仿宋简体"/>
          <w:sz w:val="28"/>
          <w:szCs w:val="28"/>
        </w:rPr>
        <mc:AlternateContent>
          <mc:Choice Requires="wps">
            <w:drawing>
              <wp:anchor distT="0" distB="0" distL="114300" distR="114300" simplePos="0" relativeHeight="251661312" behindDoc="0" locked="0" layoutInCell="1" allowOverlap="1">
                <wp:simplePos x="0" y="0"/>
                <wp:positionH relativeFrom="column">
                  <wp:posOffset>-45085</wp:posOffset>
                </wp:positionH>
                <wp:positionV relativeFrom="paragraph">
                  <wp:posOffset>26035</wp:posOffset>
                </wp:positionV>
                <wp:extent cx="5802630" cy="0"/>
                <wp:effectExtent l="0" t="4445" r="0" b="5080"/>
                <wp:wrapNone/>
                <wp:docPr id="7" name="直接连接符 7"/>
                <wp:cNvGraphicFramePr/>
                <a:graphic xmlns:a="http://schemas.openxmlformats.org/drawingml/2006/main">
                  <a:graphicData uri="http://schemas.microsoft.com/office/word/2010/wordprocessingShape">
                    <wps:wsp>
                      <wps:cNvCnPr/>
                      <wps:spPr>
                        <a:xfrm>
                          <a:off x="0" y="0"/>
                          <a:ext cx="580263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3.55pt;margin-top:2.05pt;height:0pt;width:456.9pt;z-index:251661312;mso-width-relative:page;mso-height-relative:page;" filled="f" stroked="t" coordsize="21600,21600" o:gfxdata="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Vjhgg1AAAAAYBAAAPAAAAAAAAAAEAIAAAACIAAABkcnMvZG93bnJldi54bWxQSwECFAAUAAAA&#10;CACHTuJAY4a3K/IBAADmAwAADgAAAAAAAAABACAAAAAjAQAAZHJzL2Uyb0RvYy54bWxQSwUGAAAA&#10;AAYABgBZAQAAhwUAAAAA&#10;">
                <v:fill on="f" focussize="0,0"/>
                <v:stroke color="#000000" joinstyle="round"/>
                <v:imagedata o:title=""/>
                <o:lock v:ext="edit" aspectratio="f"/>
              </v:line>
            </w:pict>
          </mc:Fallback>
        </mc:AlternateContent>
      </w:r>
      <w:r>
        <w:rPr>
          <w:rFonts w:eastAsia="方正仿宋简体"/>
          <w:sz w:val="28"/>
          <w:szCs w:val="28"/>
        </w:rPr>
        <w:t>第一师阿拉尔市生态环境局                    2025年</w:t>
      </w:r>
      <w:r>
        <w:rPr>
          <w:rFonts w:hint="eastAsia" w:eastAsia="方正仿宋简体"/>
          <w:sz w:val="28"/>
          <w:szCs w:val="28"/>
          <w:lang w:val="en-US" w:eastAsia="zh-CN"/>
        </w:rPr>
        <w:t>5</w:t>
      </w:r>
      <w:r>
        <w:rPr>
          <w:rFonts w:eastAsia="方正仿宋简体"/>
          <w:sz w:val="28"/>
          <w:szCs w:val="28"/>
        </w:rPr>
        <w:t>月</w:t>
      </w:r>
      <w:r>
        <w:rPr>
          <w:rFonts w:hint="eastAsia" w:eastAsia="方正仿宋简体"/>
          <w:sz w:val="28"/>
          <w:szCs w:val="28"/>
          <w:lang w:val="en-US" w:eastAsia="zh-CN"/>
        </w:rPr>
        <w:t>20</w:t>
      </w:r>
      <w:bookmarkStart w:id="0" w:name="_GoBack"/>
      <w:bookmarkEnd w:id="0"/>
      <w:r>
        <w:rPr>
          <w:rFonts w:eastAsia="方正仿宋简体"/>
          <w:sz w:val="28"/>
          <w:szCs w:val="28"/>
        </w:rPr>
        <w:t>日印发</w:t>
      </w:r>
    </w:p>
    <w:sectPr>
      <w:headerReference r:id="rId3" w:type="default"/>
      <w:footerReference r:id="rId4" w:type="default"/>
      <w:pgSz w:w="11906" w:h="16838"/>
      <w:pgMar w:top="2098" w:right="1474" w:bottom="1985" w:left="1588" w:header="1587" w:footer="124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BFB111EF-27FD-4450-BB59-01F0C4F885B5}"/>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9D0C64BE-445A-43D0-843C-4D443C25308C}"/>
  </w:font>
  <w:font w:name="TimesNewRoman">
    <w:altName w:val="Times New Roman"/>
    <w:panose1 w:val="00000000000000000000"/>
    <w:charset w:val="00"/>
    <w:family w:val="roman"/>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embedRegular r:id="rId3" w:fontKey="{81071B59-7773-4526-918D-E962C2306D33}"/>
  </w:font>
  <w:font w:name="方正仿宋_GB2312">
    <w:panose1 w:val="02000000000000000000"/>
    <w:charset w:val="86"/>
    <w:family w:val="auto"/>
    <w:pitch w:val="default"/>
    <w:sig w:usb0="A00002BF" w:usb1="184F6CFA" w:usb2="00000012" w:usb3="00000000" w:csb0="00040001" w:csb1="00000000"/>
    <w:embedRegular r:id="rId4" w:fontKey="{09AB90D4-5874-42A4-B1D3-62921CE6E06C}"/>
  </w:font>
  <w:font w:name="方正小标宋简体">
    <w:panose1 w:val="03000509000000000000"/>
    <w:charset w:val="86"/>
    <w:family w:val="auto"/>
    <w:pitch w:val="default"/>
    <w:sig w:usb0="00000001" w:usb1="080E0000" w:usb2="00000000" w:usb3="00000000" w:csb0="00040000" w:csb1="00000000"/>
    <w:embedRegular r:id="rId5" w:fontKey="{992FDD6F-5DF7-47D7-9A96-46FA8E3D667C}"/>
  </w:font>
  <w:font w:name="方正仿宋简体">
    <w:panose1 w:val="02000000000000000000"/>
    <w:charset w:val="86"/>
    <w:family w:val="auto"/>
    <w:pitch w:val="default"/>
    <w:sig w:usb0="00000001" w:usb1="080E0000" w:usb2="00000000" w:usb3="00000000" w:csb0="00040000" w:csb1="00000000"/>
    <w:embedRegular r:id="rId6" w:fontKey="{E8AEB241-4365-49BD-ACF6-01108D5A0E4D}"/>
  </w:font>
  <w:font w:name="方正黑体简体">
    <w:panose1 w:val="03000509000000000000"/>
    <w:charset w:val="86"/>
    <w:family w:val="auto"/>
    <w:pitch w:val="default"/>
    <w:sig w:usb0="00000001" w:usb1="080E0000" w:usb2="00000000" w:usb3="00000000" w:csb0="00040000" w:csb1="00000000"/>
    <w:embedRegular r:id="rId7" w:fontKey="{9BC31E1F-2F93-4231-8340-7C98C98C27B4}"/>
  </w:font>
  <w:font w:name="方正楷体简体">
    <w:panose1 w:val="02000000000000000000"/>
    <w:charset w:val="86"/>
    <w:family w:val="auto"/>
    <w:pitch w:val="default"/>
    <w:sig w:usb0="00000001" w:usb1="080E0000" w:usb2="00000000" w:usb3="00000000" w:csb0="00040000" w:csb1="00000000"/>
    <w:embedRegular r:id="rId8" w:fontKey="{30EAC686-60AC-4E92-B6B0-F0FDE3B5EC1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1CD99C">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9AF2696">
                          <w:pPr>
                            <w:pStyle w:val="13"/>
                            <w:rPr>
                              <w:rFonts w:ascii="宋体" w:hAnsi="宋体" w:cs="宋体"/>
                            </w:rPr>
                          </w:pPr>
                          <w:r>
                            <w:rPr>
                              <w:rFonts w:hint="eastAsia" w:ascii="宋体" w:hAnsi="宋体" w:cs="宋体"/>
                            </w:rPr>
                            <w:t xml:space="preserve">— </w:t>
                          </w: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5</w:t>
                          </w:r>
                          <w:r>
                            <w:rPr>
                              <w:rFonts w:hint="eastAsia" w:ascii="宋体" w:hAnsi="宋体" w:cs="宋体"/>
                            </w:rPr>
                            <w:fldChar w:fldCharType="end"/>
                          </w:r>
                          <w:r>
                            <w:rPr>
                              <w:rFonts w:hint="eastAsia" w:ascii="宋体" w:hAnsi="宋体" w:cs="宋体"/>
                            </w:rP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29AF2696">
                    <w:pPr>
                      <w:pStyle w:val="13"/>
                      <w:rPr>
                        <w:rFonts w:ascii="宋体" w:hAnsi="宋体" w:cs="宋体"/>
                      </w:rPr>
                    </w:pPr>
                    <w:r>
                      <w:rPr>
                        <w:rFonts w:hint="eastAsia" w:ascii="宋体" w:hAnsi="宋体" w:cs="宋体"/>
                      </w:rPr>
                      <w:t xml:space="preserve">— </w:t>
                    </w: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5</w:t>
                    </w:r>
                    <w:r>
                      <w:rPr>
                        <w:rFonts w:hint="eastAsia" w:ascii="宋体" w:hAnsi="宋体" w:cs="宋体"/>
                      </w:rPr>
                      <w:fldChar w:fldCharType="end"/>
                    </w:r>
                    <w:r>
                      <w:rPr>
                        <w:rFonts w:hint="eastAsia" w:ascii="宋体" w:hAnsi="宋体" w:cs="宋体"/>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C547EB">
    <w:pPr>
      <w:pStyle w:val="1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F7D102"/>
    <w:multiLevelType w:val="singleLevel"/>
    <w:tmpl w:val="69F7D102"/>
    <w:lvl w:ilvl="0" w:tentative="0">
      <w:start w:val="1"/>
      <w:numFmt w:val="decimal"/>
      <w:pStyle w:val="12"/>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9577F7"/>
    <w:rsid w:val="000F1D2E"/>
    <w:rsid w:val="002A357B"/>
    <w:rsid w:val="005B38F9"/>
    <w:rsid w:val="008A3AF5"/>
    <w:rsid w:val="00B96D33"/>
    <w:rsid w:val="044C1B0E"/>
    <w:rsid w:val="052A7359"/>
    <w:rsid w:val="0885646B"/>
    <w:rsid w:val="08F64B4E"/>
    <w:rsid w:val="0A7C794A"/>
    <w:rsid w:val="0BB73761"/>
    <w:rsid w:val="0D347429"/>
    <w:rsid w:val="10116269"/>
    <w:rsid w:val="10CE2621"/>
    <w:rsid w:val="13BF1F8A"/>
    <w:rsid w:val="153F4CE5"/>
    <w:rsid w:val="15D4540B"/>
    <w:rsid w:val="1E1D2EE5"/>
    <w:rsid w:val="22F86A81"/>
    <w:rsid w:val="257C1059"/>
    <w:rsid w:val="296B4E82"/>
    <w:rsid w:val="2BE41278"/>
    <w:rsid w:val="2C4F4DD1"/>
    <w:rsid w:val="2C656C18"/>
    <w:rsid w:val="30DC3C7C"/>
    <w:rsid w:val="34DF294B"/>
    <w:rsid w:val="36212FD7"/>
    <w:rsid w:val="37826C53"/>
    <w:rsid w:val="37BC7885"/>
    <w:rsid w:val="394C16B1"/>
    <w:rsid w:val="39963C41"/>
    <w:rsid w:val="3C100794"/>
    <w:rsid w:val="3C9F0607"/>
    <w:rsid w:val="3D561E3B"/>
    <w:rsid w:val="428138DE"/>
    <w:rsid w:val="42B513E5"/>
    <w:rsid w:val="435B574F"/>
    <w:rsid w:val="44805202"/>
    <w:rsid w:val="46671304"/>
    <w:rsid w:val="487C4EE8"/>
    <w:rsid w:val="49A20F15"/>
    <w:rsid w:val="4AF13073"/>
    <w:rsid w:val="4B865FFF"/>
    <w:rsid w:val="4CB27486"/>
    <w:rsid w:val="509F53B9"/>
    <w:rsid w:val="51A837B4"/>
    <w:rsid w:val="51B353FD"/>
    <w:rsid w:val="54676AEB"/>
    <w:rsid w:val="57B67C8D"/>
    <w:rsid w:val="58A7676B"/>
    <w:rsid w:val="58B27195"/>
    <w:rsid w:val="5E6D5D9C"/>
    <w:rsid w:val="5FDE16C9"/>
    <w:rsid w:val="66AB5A8E"/>
    <w:rsid w:val="683657FD"/>
    <w:rsid w:val="68BE34BE"/>
    <w:rsid w:val="693B460E"/>
    <w:rsid w:val="6AA416C7"/>
    <w:rsid w:val="6AE17106"/>
    <w:rsid w:val="6C9577F7"/>
    <w:rsid w:val="6CDE0BF2"/>
    <w:rsid w:val="6DA576C9"/>
    <w:rsid w:val="6F766674"/>
    <w:rsid w:val="719B7332"/>
    <w:rsid w:val="720C27E4"/>
    <w:rsid w:val="727C6EBB"/>
    <w:rsid w:val="796C71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color w:val="000000"/>
      <w:kern w:val="44"/>
      <w:sz w:val="48"/>
      <w:szCs w:val="48"/>
      <w:lang w:val="en-US" w:eastAsia="zh-CN" w:bidi="ar"/>
    </w:rPr>
  </w:style>
  <w:style w:type="paragraph" w:styleId="4">
    <w:name w:val="heading 2"/>
    <w:basedOn w:val="1"/>
    <w:next w:val="1"/>
    <w:unhideWhenUsed/>
    <w:qFormat/>
    <w:uiPriority w:val="9"/>
    <w:pPr>
      <w:keepNext/>
      <w:keepLines/>
      <w:spacing w:before="260" w:after="260" w:line="413" w:lineRule="auto"/>
      <w:outlineLvl w:val="1"/>
    </w:pPr>
    <w:rPr>
      <w:rFonts w:ascii="Arial" w:hAnsi="Arial" w:eastAsia="黑体"/>
    </w:rPr>
  </w:style>
  <w:style w:type="paragraph" w:styleId="5">
    <w:name w:val="heading 3"/>
    <w:basedOn w:val="1"/>
    <w:next w:val="6"/>
    <w:qFormat/>
    <w:uiPriority w:val="9"/>
    <w:pPr>
      <w:keepNext/>
      <w:keepLines/>
      <w:spacing w:before="260" w:after="260" w:line="416" w:lineRule="auto"/>
      <w:outlineLvl w:val="2"/>
    </w:pPr>
    <w:rPr>
      <w:b/>
      <w:bCs/>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rPr>
      <w:kern w:val="0"/>
      <w:sz w:val="20"/>
    </w:rPr>
  </w:style>
  <w:style w:type="paragraph" w:customStyle="1" w:styleId="6">
    <w:name w:val="报告"/>
    <w:basedOn w:val="1"/>
    <w:qFormat/>
    <w:uiPriority w:val="0"/>
    <w:pPr>
      <w:adjustRightInd w:val="0"/>
      <w:spacing w:line="360" w:lineRule="auto"/>
      <w:ind w:firstLine="505"/>
      <w:textAlignment w:val="center"/>
    </w:pPr>
    <w:rPr>
      <w:rFonts w:ascii="TimesNewRoman" w:hAnsi="TimesNewRoman"/>
      <w:kern w:val="0"/>
      <w:szCs w:val="20"/>
    </w:rPr>
  </w:style>
  <w:style w:type="paragraph" w:styleId="7">
    <w:name w:val="Normal Indent"/>
    <w:basedOn w:val="1"/>
    <w:next w:val="1"/>
    <w:qFormat/>
    <w:uiPriority w:val="0"/>
    <w:pPr>
      <w:spacing w:line="520" w:lineRule="exact"/>
      <w:ind w:firstLine="624"/>
    </w:pPr>
    <w:rPr>
      <w:sz w:val="28"/>
      <w:szCs w:val="20"/>
    </w:rPr>
  </w:style>
  <w:style w:type="paragraph" w:styleId="8">
    <w:name w:val="annotation text"/>
    <w:basedOn w:val="1"/>
    <w:qFormat/>
    <w:uiPriority w:val="0"/>
    <w:pPr>
      <w:jc w:val="left"/>
    </w:pPr>
  </w:style>
  <w:style w:type="paragraph" w:styleId="9">
    <w:name w:val="Salutation"/>
    <w:basedOn w:val="1"/>
    <w:next w:val="1"/>
    <w:qFormat/>
    <w:uiPriority w:val="0"/>
  </w:style>
  <w:style w:type="paragraph" w:styleId="10">
    <w:name w:val="Body Text Indent"/>
    <w:basedOn w:val="1"/>
    <w:next w:val="2"/>
    <w:qFormat/>
    <w:uiPriority w:val="0"/>
    <w:pPr>
      <w:spacing w:after="120"/>
      <w:ind w:left="420" w:leftChars="200"/>
    </w:pPr>
  </w:style>
  <w:style w:type="paragraph" w:styleId="11">
    <w:name w:val="Plain Text"/>
    <w:basedOn w:val="1"/>
    <w:next w:val="12"/>
    <w:qFormat/>
    <w:uiPriority w:val="0"/>
    <w:pPr>
      <w:spacing w:line="500" w:lineRule="exact"/>
    </w:pPr>
    <w:rPr>
      <w:rFonts w:ascii="宋体" w:hAnsi="Courier New"/>
      <w:sz w:val="28"/>
      <w:szCs w:val="21"/>
    </w:rPr>
  </w:style>
  <w:style w:type="paragraph" w:styleId="12">
    <w:name w:val="List Number 5"/>
    <w:basedOn w:val="1"/>
    <w:qFormat/>
    <w:uiPriority w:val="0"/>
    <w:pPr>
      <w:numPr>
        <w:ilvl w:val="0"/>
        <w:numId w:val="1"/>
      </w:numPr>
    </w:pPr>
  </w:style>
  <w:style w:type="paragraph" w:styleId="13">
    <w:name w:val="footer"/>
    <w:basedOn w:val="1"/>
    <w:qFormat/>
    <w:uiPriority w:val="0"/>
    <w:pPr>
      <w:tabs>
        <w:tab w:val="center" w:pos="4153"/>
        <w:tab w:val="right" w:pos="8306"/>
      </w:tabs>
      <w:snapToGrid w:val="0"/>
      <w:jc w:val="left"/>
    </w:pPr>
    <w:rPr>
      <w:sz w:val="28"/>
      <w:szCs w:val="18"/>
    </w:rPr>
  </w:style>
  <w:style w:type="paragraph" w:styleId="14">
    <w:name w:val="header"/>
    <w:basedOn w:val="1"/>
    <w:next w:val="1"/>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2"/>
    <w:basedOn w:val="1"/>
    <w:unhideWhenUsed/>
    <w:qFormat/>
    <w:uiPriority w:val="99"/>
    <w:pPr>
      <w:spacing w:after="120" w:line="480" w:lineRule="auto"/>
    </w:pPr>
  </w:style>
  <w:style w:type="paragraph" w:styleId="16">
    <w:name w:val="Body Text First Indent 2"/>
    <w:basedOn w:val="10"/>
    <w:next w:val="1"/>
    <w:qFormat/>
    <w:uiPriority w:val="0"/>
    <w:pPr>
      <w:ind w:firstLine="420" w:firstLineChars="200"/>
    </w:pPr>
  </w:style>
  <w:style w:type="paragraph" w:customStyle="1" w:styleId="19">
    <w:name w:val="Default"/>
    <w:basedOn w:val="20"/>
    <w:qFormat/>
    <w:uiPriority w:val="0"/>
    <w:pPr>
      <w:autoSpaceDE w:val="0"/>
      <w:autoSpaceDN w:val="0"/>
    </w:pPr>
    <w:rPr>
      <w:sz w:val="24"/>
      <w:szCs w:val="24"/>
    </w:rPr>
  </w:style>
  <w:style w:type="paragraph" w:customStyle="1" w:styleId="20">
    <w:name w:val="1 表头"/>
    <w:basedOn w:val="1"/>
    <w:qFormat/>
    <w:uiPriority w:val="0"/>
    <w:pPr>
      <w:adjustRightInd w:val="0"/>
      <w:snapToGrid w:val="0"/>
      <w:jc w:val="center"/>
    </w:pPr>
    <w:rPr>
      <w:b/>
      <w:color w:val="000000"/>
      <w:szCs w:val="21"/>
    </w:rPr>
  </w:style>
  <w:style w:type="paragraph" w:customStyle="1" w:styleId="21">
    <w:name w:val="纯文本1"/>
    <w:basedOn w:val="1"/>
    <w:qFormat/>
    <w:uiPriority w:val="0"/>
    <w:pPr>
      <w:adjustRightInd w:val="0"/>
      <w:textAlignment w:val="baseline"/>
    </w:pPr>
    <w:rPr>
      <w:rFonts w:ascii="宋体" w:hAnsi="Courier New"/>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2667</Words>
  <Characters>2877</Characters>
  <Lines>17</Lines>
  <Paragraphs>4</Paragraphs>
  <TotalTime>29</TotalTime>
  <ScaleCrop>false</ScaleCrop>
  <LinksUpToDate>false</LinksUpToDate>
  <CharactersWithSpaces>2901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2024-12-11T05:42:00Z</dcterms:created>
  <dc:creator></dc:creator>
  <cp:lastModifiedBy>明月清风晓星尘</cp:lastModifiedBy>
  <cp:lastPrinted>2025-05-20T11:23:25Z</cp:lastPrinted>
  <dcterms:modified xsi:type="dcterms:W3CDTF">2025-05-20T11:29:24Z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B33ABCD857204718AE30B17A991F12FA_13</vt:lpwstr>
  </property>
  <property fmtid="{D5CDD505-2E9C-101B-9397-08002B2CF9AE}" pid="4" name="KSOTemplateDocerSaveRecord">
    <vt:lpwstr>eyJoZGlkIjoiZjEzODdhZDFmYzk5ODE2MmE3OTk4OTBkMjc2NjcxZTIiLCJ1c2VySWQiOiIzNTY3MzA4ODIifQ==</vt:lpwstr>
  </property>
</Properties>
</file>