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450012">
      <w:pPr>
        <w:pStyle w:val="6"/>
        <w:shd w:val="clear" w:color="auto" w:fill="FFFFFF"/>
        <w:spacing w:before="0" w:beforeAutospacing="0" w:after="0" w:afterAutospacing="0" w:line="630" w:lineRule="atLeast"/>
        <w:jc w:val="center"/>
        <w:rPr>
          <w:rStyle w:val="9"/>
          <w:rFonts w:hint="eastAsia"/>
          <w:color w:val="333333"/>
          <w:sz w:val="44"/>
          <w:szCs w:val="44"/>
        </w:rPr>
      </w:pPr>
    </w:p>
    <w:p w14:paraId="3C8F6C70">
      <w:pPr>
        <w:pStyle w:val="6"/>
        <w:shd w:val="clear" w:color="auto" w:fill="FFFFFF"/>
        <w:spacing w:before="0" w:beforeAutospacing="0" w:after="0" w:afterAutospacing="0" w:line="630" w:lineRule="atLeast"/>
        <w:jc w:val="center"/>
        <w:rPr>
          <w:rFonts w:ascii="仿宋" w:hAnsi="仿宋" w:eastAsia="仿宋"/>
          <w:color w:val="333333"/>
          <w:sz w:val="32"/>
          <w:szCs w:val="32"/>
        </w:rPr>
      </w:pPr>
      <w:r>
        <w:rPr>
          <w:rStyle w:val="9"/>
          <w:rFonts w:hint="eastAsia"/>
          <w:color w:val="333333"/>
          <w:sz w:val="44"/>
          <w:szCs w:val="44"/>
        </w:rPr>
        <w:t>商品条码管理办法</w:t>
      </w:r>
    </w:p>
    <w:p w14:paraId="4BBA92DB">
      <w:pPr>
        <w:pStyle w:val="6"/>
        <w:shd w:val="clear" w:color="auto" w:fill="FFFFFF"/>
        <w:spacing w:before="0" w:beforeAutospacing="0" w:after="0" w:afterAutospacing="0" w:line="630" w:lineRule="atLeast"/>
        <w:ind w:firstLine="560" w:firstLineChars="200"/>
        <w:rPr>
          <w:rFonts w:hint="eastAsia" w:ascii="楷体_GB2312" w:hAnsi="仿宋" w:eastAsia="楷体_GB2312"/>
          <w:color w:val="333333"/>
          <w:sz w:val="32"/>
          <w:szCs w:val="32"/>
        </w:rPr>
      </w:pPr>
      <w:r>
        <w:rPr>
          <w:rFonts w:hint="eastAsia" w:ascii="楷体_GB2312" w:hAnsi="仿宋" w:eastAsia="楷体_GB2312"/>
          <w:color w:val="333333"/>
          <w:sz w:val="28"/>
          <w:szCs w:val="28"/>
        </w:rPr>
        <w:t>（2005年5月30日国家质量监督检验检疫总局令第76号公布 自2005年10月1日起施行）</w:t>
      </w:r>
    </w:p>
    <w:p w14:paraId="07FD47A1">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color w:val="333333"/>
          <w:sz w:val="32"/>
          <w:szCs w:val="32"/>
        </w:rPr>
        <w:t> </w:t>
      </w:r>
    </w:p>
    <w:p w14:paraId="32B04658">
      <w:pPr>
        <w:pStyle w:val="6"/>
        <w:shd w:val="clear" w:color="auto" w:fill="FFFFFF"/>
        <w:spacing w:before="0" w:beforeAutospacing="0" w:after="0" w:afterAutospacing="0" w:line="630" w:lineRule="atLeast"/>
        <w:jc w:val="center"/>
        <w:rPr>
          <w:rFonts w:hint="eastAsia" w:ascii="仿宋" w:hAnsi="仿宋" w:eastAsia="仿宋"/>
          <w:color w:val="333333"/>
          <w:sz w:val="32"/>
          <w:szCs w:val="32"/>
        </w:rPr>
      </w:pPr>
      <w:r>
        <w:rPr>
          <w:rFonts w:hint="eastAsia" w:ascii="黑体" w:hAnsi="黑体" w:eastAsia="黑体"/>
          <w:color w:val="333333"/>
          <w:sz w:val="32"/>
          <w:szCs w:val="32"/>
        </w:rPr>
        <w:t>第一章　总则</w:t>
      </w:r>
    </w:p>
    <w:p w14:paraId="06DFAC59">
      <w:pPr>
        <w:pStyle w:val="6"/>
        <w:shd w:val="clear" w:color="auto" w:fill="FFFFFF"/>
        <w:spacing w:before="0" w:beforeAutospacing="0" w:after="0" w:afterAutospacing="0" w:line="630" w:lineRule="atLeast"/>
        <w:jc w:val="center"/>
        <w:rPr>
          <w:rFonts w:hint="eastAsia" w:ascii="仿宋" w:hAnsi="仿宋" w:eastAsia="仿宋"/>
          <w:color w:val="333333"/>
          <w:sz w:val="32"/>
          <w:szCs w:val="32"/>
        </w:rPr>
      </w:pPr>
      <w:r>
        <w:rPr>
          <w:rFonts w:hint="eastAsia"/>
          <w:color w:val="333333"/>
          <w:sz w:val="32"/>
          <w:szCs w:val="32"/>
        </w:rPr>
        <w:t> </w:t>
      </w:r>
    </w:p>
    <w:p w14:paraId="20E5C7FE">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第一条</w:t>
      </w:r>
      <w:r>
        <w:rPr>
          <w:rFonts w:hint="eastAsia"/>
          <w:color w:val="333333"/>
          <w:sz w:val="32"/>
          <w:szCs w:val="32"/>
        </w:rPr>
        <w:t> </w:t>
      </w:r>
      <w:r>
        <w:rPr>
          <w:rFonts w:hint="eastAsia" w:ascii="仿宋" w:hAnsi="仿宋" w:eastAsia="仿宋"/>
          <w:color w:val="333333"/>
          <w:sz w:val="32"/>
          <w:szCs w:val="32"/>
        </w:rPr>
        <w:t>为了规范商品条码管理，保证商品条码质量，加快商品条码在电子商务和商品流通等领域的应用，促进我国电子商务、商品流通信息化的发展，根据国家有关规定，制定本办法。</w:t>
      </w:r>
    </w:p>
    <w:p w14:paraId="0B6EA80A">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第二条</w:t>
      </w:r>
      <w:r>
        <w:rPr>
          <w:rFonts w:hint="eastAsia"/>
          <w:color w:val="333333"/>
          <w:sz w:val="32"/>
          <w:szCs w:val="32"/>
        </w:rPr>
        <w:t> </w:t>
      </w:r>
      <w:r>
        <w:rPr>
          <w:rFonts w:hint="eastAsia" w:ascii="仿宋" w:hAnsi="仿宋" w:eastAsia="仿宋"/>
          <w:color w:val="333333"/>
          <w:sz w:val="32"/>
          <w:szCs w:val="32"/>
        </w:rPr>
        <w:t>本办法所称商品条码包括零售商品、非零售商品、物流单元、位置的代码和条码标识。</w:t>
      </w:r>
    </w:p>
    <w:p w14:paraId="49C1AB82">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我国采用国际通用的商品代码及条码标识体系，推广应用商品条码，建立我国的商品标识系统。</w:t>
      </w:r>
    </w:p>
    <w:p w14:paraId="1F70A7CE">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第三条</w:t>
      </w:r>
      <w:r>
        <w:rPr>
          <w:rFonts w:hint="eastAsia"/>
          <w:color w:val="333333"/>
          <w:sz w:val="32"/>
          <w:szCs w:val="32"/>
        </w:rPr>
        <w:t> </w:t>
      </w:r>
      <w:r>
        <w:rPr>
          <w:rFonts w:hint="eastAsia" w:ascii="仿宋" w:hAnsi="仿宋" w:eastAsia="仿宋"/>
          <w:color w:val="333333"/>
          <w:sz w:val="32"/>
          <w:szCs w:val="32"/>
        </w:rPr>
        <w:t>中华人民共和国境内商品条码的注册、编码、印制、应用及其管理，适用本办法。</w:t>
      </w:r>
    </w:p>
    <w:p w14:paraId="4D0DA11B">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第四条</w:t>
      </w:r>
      <w:r>
        <w:rPr>
          <w:rFonts w:hint="eastAsia"/>
          <w:color w:val="333333"/>
          <w:sz w:val="32"/>
          <w:szCs w:val="32"/>
        </w:rPr>
        <w:t> </w:t>
      </w:r>
      <w:r>
        <w:rPr>
          <w:rFonts w:hint="eastAsia" w:ascii="仿宋" w:hAnsi="仿宋" w:eastAsia="仿宋"/>
          <w:color w:val="333333"/>
          <w:sz w:val="32"/>
          <w:szCs w:val="32"/>
        </w:rPr>
        <w:t>国家质量监督检验检疫总局（以下简称国家质检总局）和国家标准化管理委员会（以下简称国家标准委）是全国商品条码工作的主管部门，统一组织管理全国商品条码工作。中国物品编码中心（以下简称编码中心）是全国商品条码工作机构，负责全国商品条码管理的具体实施工作。</w:t>
      </w:r>
    </w:p>
    <w:p w14:paraId="3263B591">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第五条</w:t>
      </w:r>
      <w:r>
        <w:rPr>
          <w:rFonts w:hint="eastAsia"/>
          <w:color w:val="333333"/>
          <w:sz w:val="32"/>
          <w:szCs w:val="32"/>
        </w:rPr>
        <w:t> </w:t>
      </w:r>
      <w:r>
        <w:rPr>
          <w:rFonts w:hint="eastAsia" w:ascii="仿宋" w:hAnsi="仿宋" w:eastAsia="仿宋"/>
          <w:color w:val="333333"/>
          <w:sz w:val="32"/>
          <w:szCs w:val="32"/>
        </w:rPr>
        <w:t>厂商识别代码是商品条码的重要组成部分。任何单位和个人使用商品条码必须按照本办法核准注册，获得厂商识别代码。</w:t>
      </w:r>
    </w:p>
    <w:p w14:paraId="571D3670">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color w:val="333333"/>
          <w:sz w:val="32"/>
          <w:szCs w:val="32"/>
        </w:rPr>
        <w:t> </w:t>
      </w:r>
    </w:p>
    <w:p w14:paraId="2D905CD6">
      <w:pPr>
        <w:pStyle w:val="6"/>
        <w:shd w:val="clear" w:color="auto" w:fill="FFFFFF"/>
        <w:spacing w:before="0" w:beforeAutospacing="0" w:after="0" w:afterAutospacing="0" w:line="630" w:lineRule="atLeast"/>
        <w:jc w:val="center"/>
        <w:rPr>
          <w:rFonts w:hint="eastAsia" w:ascii="仿宋" w:hAnsi="仿宋" w:eastAsia="仿宋"/>
          <w:color w:val="333333"/>
          <w:sz w:val="32"/>
          <w:szCs w:val="32"/>
        </w:rPr>
      </w:pPr>
      <w:r>
        <w:rPr>
          <w:rFonts w:hint="eastAsia" w:ascii="黑体" w:hAnsi="黑体" w:eastAsia="黑体"/>
          <w:color w:val="333333"/>
          <w:sz w:val="32"/>
          <w:szCs w:val="32"/>
        </w:rPr>
        <w:t>第二章　注册</w:t>
      </w:r>
    </w:p>
    <w:p w14:paraId="7EDF79AE">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color w:val="333333"/>
          <w:sz w:val="32"/>
          <w:szCs w:val="32"/>
        </w:rPr>
        <w:t> </w:t>
      </w:r>
    </w:p>
    <w:p w14:paraId="5631354C">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第六条</w:t>
      </w:r>
      <w:r>
        <w:rPr>
          <w:rFonts w:hint="eastAsia"/>
          <w:color w:val="333333"/>
          <w:sz w:val="32"/>
          <w:szCs w:val="32"/>
        </w:rPr>
        <w:t> </w:t>
      </w:r>
      <w:r>
        <w:rPr>
          <w:rFonts w:hint="eastAsia" w:ascii="仿宋" w:hAnsi="仿宋" w:eastAsia="仿宋"/>
          <w:color w:val="333333"/>
          <w:sz w:val="32"/>
          <w:szCs w:val="32"/>
        </w:rPr>
        <w:t>依法取得营业执照和相关合法经营资质证明的生产者、销售者和服务提供者，可以申请注册厂商识别代码。</w:t>
      </w:r>
    </w:p>
    <w:p w14:paraId="53460A0F">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集团公司中具有独立法人资格的子公司需要使用商品条码时，应当按规定单独申请注册厂商识别代码。</w:t>
      </w:r>
    </w:p>
    <w:p w14:paraId="21509592">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第七条</w:t>
      </w:r>
      <w:r>
        <w:rPr>
          <w:rFonts w:hint="eastAsia"/>
          <w:color w:val="333333"/>
          <w:sz w:val="32"/>
          <w:szCs w:val="32"/>
        </w:rPr>
        <w:t> </w:t>
      </w:r>
      <w:r>
        <w:rPr>
          <w:rFonts w:hint="eastAsia" w:ascii="仿宋" w:hAnsi="仿宋" w:eastAsia="仿宋"/>
          <w:color w:val="333333"/>
          <w:sz w:val="32"/>
          <w:szCs w:val="32"/>
        </w:rPr>
        <w:t>厂商识别代码注册申请人（以下简称申请人）可以到所在地的编码中心地方分支机构（以下简称编码分支机构）申请注册厂商识别代码。</w:t>
      </w:r>
    </w:p>
    <w:p w14:paraId="00F15277">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申请人应当填写《中国商品条码系统成员注册登记表》，出示营业执照或相关合法经营资质证明并提供复印件。</w:t>
      </w:r>
    </w:p>
    <w:p w14:paraId="1D6E80D9">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第八条</w:t>
      </w:r>
      <w:r>
        <w:rPr>
          <w:rFonts w:hint="eastAsia"/>
          <w:color w:val="333333"/>
          <w:sz w:val="32"/>
          <w:szCs w:val="32"/>
        </w:rPr>
        <w:t> </w:t>
      </w:r>
      <w:r>
        <w:rPr>
          <w:rFonts w:hint="eastAsia" w:ascii="仿宋" w:hAnsi="仿宋" w:eastAsia="仿宋"/>
          <w:color w:val="333333"/>
          <w:sz w:val="32"/>
          <w:szCs w:val="32"/>
        </w:rPr>
        <w:t>对申请人提供的申请资料，编码分支机构应当在5个工作日内完成初审。对初审合格的，编码分支机构签署意见并报送编码中心审批；对初审不合格的，编码分支机构应当将申请资料退给申请人并说明理由。</w:t>
      </w:r>
    </w:p>
    <w:p w14:paraId="3D555A64">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第九条</w:t>
      </w:r>
      <w:r>
        <w:rPr>
          <w:rFonts w:hint="eastAsia"/>
          <w:color w:val="333333"/>
          <w:sz w:val="32"/>
          <w:szCs w:val="32"/>
        </w:rPr>
        <w:t> </w:t>
      </w:r>
      <w:r>
        <w:rPr>
          <w:rFonts w:hint="eastAsia" w:ascii="仿宋" w:hAnsi="仿宋" w:eastAsia="仿宋"/>
          <w:color w:val="333333"/>
          <w:sz w:val="32"/>
          <w:szCs w:val="32"/>
        </w:rPr>
        <w:t>对初审合格的申请资料，编码中心应当自收到申请人交纳的有关费用之日起5个工作日内完成审核程序。对符合本办法第六、七条规定要求的，编码中心向申请人核准注册厂商识别代码；对不符合规定要求的，编码中心应当将申请资料退回编码分支机构并说明理由。</w:t>
      </w:r>
    </w:p>
    <w:p w14:paraId="0FF771F3">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第十条</w:t>
      </w:r>
      <w:r>
        <w:rPr>
          <w:rFonts w:hint="eastAsia"/>
          <w:color w:val="333333"/>
          <w:sz w:val="32"/>
          <w:szCs w:val="32"/>
        </w:rPr>
        <w:t> </w:t>
      </w:r>
      <w:r>
        <w:rPr>
          <w:rFonts w:hint="eastAsia" w:ascii="仿宋" w:hAnsi="仿宋" w:eastAsia="仿宋"/>
          <w:color w:val="333333"/>
          <w:sz w:val="32"/>
          <w:szCs w:val="32"/>
        </w:rPr>
        <w:t>申请人获准注册厂商识别代码的，由编码中心发给《中国商品条码系统成员证书》（以下简称《系统成员证书》），取得中国商品条码系统成员（以下简称系统成员）资格。</w:t>
      </w:r>
    </w:p>
    <w:p w14:paraId="675C9EAC">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第十一条</w:t>
      </w:r>
      <w:r>
        <w:rPr>
          <w:rFonts w:hint="eastAsia"/>
          <w:color w:val="333333"/>
          <w:sz w:val="32"/>
          <w:szCs w:val="32"/>
        </w:rPr>
        <w:t> </w:t>
      </w:r>
      <w:r>
        <w:rPr>
          <w:rFonts w:hint="eastAsia" w:ascii="仿宋" w:hAnsi="仿宋" w:eastAsia="仿宋"/>
          <w:color w:val="333333"/>
          <w:sz w:val="32"/>
          <w:szCs w:val="32"/>
        </w:rPr>
        <w:t>具有下列情形之一的，不予注册厂商识别代码：</w:t>
      </w:r>
    </w:p>
    <w:p w14:paraId="41DDB8A8">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（一）不能出示营业执照或相关合法经营资质证明文件的。</w:t>
      </w:r>
    </w:p>
    <w:p w14:paraId="5F0297C0">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（二）社会组织、行业协会、中介机构等组织或单位，非本单位使用厂商识别代码的。</w:t>
      </w:r>
    </w:p>
    <w:p w14:paraId="378BB2B1">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（三）违反法律法规或者国际物品编码协会章程的其他情形。</w:t>
      </w:r>
    </w:p>
    <w:p w14:paraId="7CD1C15A">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第十二条</w:t>
      </w:r>
      <w:r>
        <w:rPr>
          <w:rFonts w:hint="eastAsia"/>
          <w:color w:val="333333"/>
          <w:sz w:val="32"/>
          <w:szCs w:val="32"/>
        </w:rPr>
        <w:t> </w:t>
      </w:r>
      <w:r>
        <w:rPr>
          <w:rFonts w:hint="eastAsia" w:ascii="仿宋" w:hAnsi="仿宋" w:eastAsia="仿宋"/>
          <w:color w:val="333333"/>
          <w:sz w:val="32"/>
          <w:szCs w:val="32"/>
        </w:rPr>
        <w:t>编码中心应当定期公告系统成员及其注册的厂商识别代码。</w:t>
      </w:r>
    </w:p>
    <w:p w14:paraId="0EF1B5AE">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color w:val="333333"/>
          <w:sz w:val="32"/>
          <w:szCs w:val="32"/>
        </w:rPr>
        <w:t> </w:t>
      </w:r>
    </w:p>
    <w:p w14:paraId="4A9019E3">
      <w:pPr>
        <w:pStyle w:val="6"/>
        <w:shd w:val="clear" w:color="auto" w:fill="FFFFFF"/>
        <w:spacing w:before="0" w:beforeAutospacing="0" w:after="0" w:afterAutospacing="0" w:line="630" w:lineRule="atLeast"/>
        <w:jc w:val="center"/>
        <w:rPr>
          <w:rFonts w:hint="eastAsia" w:ascii="仿宋" w:hAnsi="仿宋" w:eastAsia="仿宋"/>
          <w:color w:val="333333"/>
          <w:sz w:val="32"/>
          <w:szCs w:val="32"/>
        </w:rPr>
      </w:pPr>
      <w:r>
        <w:rPr>
          <w:rFonts w:hint="eastAsia" w:ascii="黑体" w:hAnsi="黑体" w:eastAsia="黑体"/>
          <w:color w:val="333333"/>
          <w:sz w:val="32"/>
          <w:szCs w:val="32"/>
        </w:rPr>
        <w:t>第三章　编码、设计及印刷</w:t>
      </w:r>
    </w:p>
    <w:p w14:paraId="0D2D9DC2">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color w:val="333333"/>
          <w:sz w:val="32"/>
          <w:szCs w:val="32"/>
        </w:rPr>
        <w:t> </w:t>
      </w:r>
    </w:p>
    <w:p w14:paraId="71F9EC91">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第十三条</w:t>
      </w:r>
      <w:r>
        <w:rPr>
          <w:rFonts w:hint="eastAsia"/>
          <w:color w:val="333333"/>
          <w:sz w:val="32"/>
          <w:szCs w:val="32"/>
        </w:rPr>
        <w:t> </w:t>
      </w:r>
      <w:r>
        <w:rPr>
          <w:rFonts w:hint="eastAsia" w:ascii="仿宋" w:hAnsi="仿宋" w:eastAsia="仿宋"/>
          <w:color w:val="333333"/>
          <w:sz w:val="32"/>
          <w:szCs w:val="32"/>
        </w:rPr>
        <w:t>商品条码的编码、设计及印刷应当符合《商品条码》（GB12904）等相关国家标准的规定。编码中心应当按照有关国家标准编制厂商识别代码。</w:t>
      </w:r>
    </w:p>
    <w:p w14:paraId="4D3BC3A7">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第十四条</w:t>
      </w:r>
      <w:r>
        <w:rPr>
          <w:rFonts w:hint="eastAsia"/>
          <w:color w:val="333333"/>
          <w:sz w:val="32"/>
          <w:szCs w:val="32"/>
        </w:rPr>
        <w:t> </w:t>
      </w:r>
      <w:r>
        <w:rPr>
          <w:rFonts w:hint="eastAsia" w:ascii="仿宋" w:hAnsi="仿宋" w:eastAsia="仿宋"/>
          <w:color w:val="333333"/>
          <w:sz w:val="32"/>
          <w:szCs w:val="32"/>
        </w:rPr>
        <w:t>系统成员应当按照有关国家标准编制商品代码，向所在地的编码分支机构通报编码信息。</w:t>
      </w:r>
    </w:p>
    <w:p w14:paraId="1E9C2166">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第十五条</w:t>
      </w:r>
      <w:r>
        <w:rPr>
          <w:rFonts w:hint="eastAsia"/>
          <w:color w:val="333333"/>
          <w:sz w:val="32"/>
          <w:szCs w:val="32"/>
        </w:rPr>
        <w:t> </w:t>
      </w:r>
      <w:r>
        <w:rPr>
          <w:rFonts w:hint="eastAsia" w:ascii="仿宋" w:hAnsi="仿宋" w:eastAsia="仿宋"/>
          <w:color w:val="333333"/>
          <w:sz w:val="32"/>
          <w:szCs w:val="32"/>
        </w:rPr>
        <w:t>企业在设计商品条码时，应当根据应用需要采用《商品条码》（GB12904）、《储运单元条码》（GB/T16830）、《EAN·UCC系统128条码》（GB/T15425）等国家标准中规定的条码标识。</w:t>
      </w:r>
    </w:p>
    <w:p w14:paraId="655724DD">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第十六条</w:t>
      </w:r>
      <w:r>
        <w:rPr>
          <w:rFonts w:hint="eastAsia"/>
          <w:color w:val="333333"/>
          <w:sz w:val="32"/>
          <w:szCs w:val="32"/>
        </w:rPr>
        <w:t> </w:t>
      </w:r>
      <w:r>
        <w:rPr>
          <w:rFonts w:hint="eastAsia" w:ascii="仿宋" w:hAnsi="仿宋" w:eastAsia="仿宋"/>
          <w:color w:val="333333"/>
          <w:sz w:val="32"/>
          <w:szCs w:val="32"/>
        </w:rPr>
        <w:t>从事商品条码印刷的企业可以向条码工作机构提出申请，取得印刷资质。获得印刷资质的印刷企业，可优先承接商品条码的印刷业务。具体管理办法由国家质检总局另行规定。</w:t>
      </w:r>
    </w:p>
    <w:p w14:paraId="2DCD2BAC">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第十七条</w:t>
      </w:r>
      <w:r>
        <w:rPr>
          <w:rFonts w:hint="eastAsia"/>
          <w:color w:val="333333"/>
          <w:sz w:val="32"/>
          <w:szCs w:val="32"/>
        </w:rPr>
        <w:t> </w:t>
      </w:r>
      <w:r>
        <w:rPr>
          <w:rFonts w:hint="eastAsia" w:ascii="仿宋" w:hAnsi="仿宋" w:eastAsia="仿宋"/>
          <w:color w:val="333333"/>
          <w:sz w:val="32"/>
          <w:szCs w:val="32"/>
        </w:rPr>
        <w:t>印刷企业应当按照有关国家标准印刷商品条码，保证商品条码印刷质量。</w:t>
      </w:r>
    </w:p>
    <w:p w14:paraId="3AC7D9E2">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印刷企业接受商品条码印刷业务时，应当查验委托人的《系统成员证书》或境外同等效力的证明文件并进行备案。</w:t>
      </w:r>
    </w:p>
    <w:p w14:paraId="6B60BC0E">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第十八条</w:t>
      </w:r>
      <w:r>
        <w:rPr>
          <w:rFonts w:hint="eastAsia"/>
          <w:color w:val="333333"/>
          <w:sz w:val="32"/>
          <w:szCs w:val="32"/>
        </w:rPr>
        <w:t> </w:t>
      </w:r>
      <w:r>
        <w:rPr>
          <w:rFonts w:hint="eastAsia" w:ascii="仿宋" w:hAnsi="仿宋" w:eastAsia="仿宋"/>
          <w:color w:val="333333"/>
          <w:sz w:val="32"/>
          <w:szCs w:val="32"/>
        </w:rPr>
        <w:t>条码工作机构鼓励系统成员和相关单位委托具有商品条码印刷资格的企业印刷商品条码。</w:t>
      </w:r>
    </w:p>
    <w:p w14:paraId="1C4A2E9C">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color w:val="333333"/>
          <w:sz w:val="32"/>
          <w:szCs w:val="32"/>
        </w:rPr>
        <w:t> </w:t>
      </w:r>
    </w:p>
    <w:p w14:paraId="41AFFBBB">
      <w:pPr>
        <w:pStyle w:val="6"/>
        <w:shd w:val="clear" w:color="auto" w:fill="FFFFFF"/>
        <w:spacing w:before="0" w:beforeAutospacing="0" w:after="0" w:afterAutospacing="0" w:line="630" w:lineRule="atLeast"/>
        <w:jc w:val="center"/>
        <w:rPr>
          <w:rFonts w:hint="eastAsia" w:ascii="仿宋" w:hAnsi="仿宋" w:eastAsia="仿宋"/>
          <w:color w:val="333333"/>
          <w:sz w:val="32"/>
          <w:szCs w:val="32"/>
        </w:rPr>
      </w:pPr>
      <w:r>
        <w:rPr>
          <w:rFonts w:hint="eastAsia" w:ascii="黑体" w:hAnsi="黑体" w:eastAsia="黑体"/>
          <w:color w:val="333333"/>
          <w:sz w:val="32"/>
          <w:szCs w:val="32"/>
        </w:rPr>
        <w:t>第四章　应用和管理</w:t>
      </w:r>
    </w:p>
    <w:p w14:paraId="13E4C2DB">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color w:val="333333"/>
          <w:sz w:val="32"/>
          <w:szCs w:val="32"/>
        </w:rPr>
        <w:t> </w:t>
      </w:r>
    </w:p>
    <w:p w14:paraId="1F4B0452">
      <w:pPr>
        <w:pStyle w:val="6"/>
        <w:shd w:val="clear" w:color="auto" w:fill="FFFFFF"/>
        <w:spacing w:before="0" w:beforeAutospacing="0" w:after="0" w:afterAutospacing="0" w:line="630" w:lineRule="atLeast"/>
        <w:jc w:val="both"/>
        <w:rPr>
          <w:rFonts w:hint="eastAsia" w:ascii="仿宋" w:hAnsi="仿宋" w:eastAsia="仿宋"/>
          <w:color w:val="000000" w:themeColor="text1"/>
          <w:sz w:val="32"/>
          <w:szCs w:val="32"/>
          <w:highlight w:val="red"/>
          <w14:textFill>
            <w14:solidFill>
              <w14:schemeClr w14:val="tx1"/>
            </w14:solidFill>
          </w14:textFill>
        </w:rPr>
      </w:pPr>
      <w:r>
        <w:rPr>
          <w:rFonts w:hint="eastAsia" w:ascii="仿宋" w:hAnsi="仿宋" w:eastAsia="仿宋"/>
          <w:color w:val="333333"/>
          <w:sz w:val="32"/>
          <w:szCs w:val="32"/>
        </w:rPr>
        <w:t>　　</w:t>
      </w:r>
      <w:r>
        <w:rPr>
          <w:rFonts w:hint="eastAsia" w:ascii="黑体" w:hAnsi="黑体" w:eastAsia="黑体"/>
          <w:color w:val="333333"/>
          <w:sz w:val="32"/>
          <w:szCs w:val="32"/>
        </w:rPr>
        <w:t>第十九条</w:t>
      </w:r>
      <w:r>
        <w:rPr>
          <w:rFonts w:hint="eastAsia"/>
          <w:color w:val="333333"/>
          <w:sz w:val="32"/>
          <w:szCs w:val="32"/>
        </w:rPr>
        <w:t> </w:t>
      </w:r>
      <w:r>
        <w:rPr>
          <w:rFonts w:hint="eastAsia" w:ascii="仿宋" w:hAnsi="仿宋" w:eastAsia="仿宋"/>
          <w:color w:val="000000" w:themeColor="text1"/>
          <w:sz w:val="32"/>
          <w:szCs w:val="32"/>
          <w:highlight w:val="yellow"/>
          <w14:textFill>
            <w14:solidFill>
              <w14:schemeClr w14:val="tx1"/>
            </w14:solidFill>
          </w14:textFill>
        </w:rPr>
        <w:t>系统成员对其厂商识别代码、商品代码和相应的商品条码享有专用权。</w:t>
      </w:r>
    </w:p>
    <w:p w14:paraId="4372D06C">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第二十条</w:t>
      </w:r>
      <w:r>
        <w:rPr>
          <w:rFonts w:hint="eastAsia"/>
          <w:color w:val="333333"/>
          <w:sz w:val="32"/>
          <w:szCs w:val="32"/>
        </w:rPr>
        <w:t> </w:t>
      </w:r>
      <w:r>
        <w:rPr>
          <w:rFonts w:hint="eastAsia" w:ascii="仿宋" w:hAnsi="仿宋" w:eastAsia="仿宋"/>
          <w:color w:val="333333"/>
          <w:sz w:val="32"/>
          <w:szCs w:val="32"/>
          <w:highlight w:val="yellow"/>
        </w:rPr>
        <w:t>系统成员不得将其厂商识别代码和相应的商品条码转让他人使用。</w:t>
      </w:r>
    </w:p>
    <w:p w14:paraId="7156509C">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第二十一条</w:t>
      </w:r>
      <w:r>
        <w:rPr>
          <w:rFonts w:hint="eastAsia"/>
          <w:color w:val="333333"/>
          <w:sz w:val="32"/>
          <w:szCs w:val="32"/>
        </w:rPr>
        <w:t> </w:t>
      </w:r>
      <w:r>
        <w:rPr>
          <w:rFonts w:hint="eastAsia" w:ascii="仿宋" w:hAnsi="仿宋" w:eastAsia="仿宋"/>
          <w:color w:val="333333"/>
          <w:sz w:val="32"/>
          <w:szCs w:val="32"/>
        </w:rPr>
        <w:t>任何单位和个人未经核准注册不得使用厂商识别代码和相应的条码。</w:t>
      </w:r>
    </w:p>
    <w:p w14:paraId="5A467482">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任何单位和个人不得在商品包装上使用其他条码冒充商品条码；不得伪造商品条码。</w:t>
      </w:r>
    </w:p>
    <w:p w14:paraId="199DA059">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第二十二条</w:t>
      </w:r>
      <w:r>
        <w:rPr>
          <w:rFonts w:hint="eastAsia"/>
          <w:color w:val="333333"/>
          <w:sz w:val="32"/>
          <w:szCs w:val="32"/>
        </w:rPr>
        <w:t> </w:t>
      </w:r>
      <w:r>
        <w:rPr>
          <w:rFonts w:hint="eastAsia" w:ascii="仿宋" w:hAnsi="仿宋" w:eastAsia="仿宋"/>
          <w:color w:val="333333"/>
          <w:sz w:val="32"/>
          <w:szCs w:val="32"/>
        </w:rPr>
        <w:t>销售者应当积极采用商品条码。销售者在其经销的商品没有使用商品条码的情况下，可以使用店内条码。店内条码的使用，应当符合国家标准《店内条码》（GB/T18283）的有关规定。</w:t>
      </w:r>
    </w:p>
    <w:p w14:paraId="25AA4EFC">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生产者不得以店内条码冒充商品条码使用。</w:t>
      </w:r>
    </w:p>
    <w:p w14:paraId="0296136D">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第二十三条</w:t>
      </w:r>
      <w:r>
        <w:rPr>
          <w:rFonts w:hint="eastAsia"/>
          <w:color w:val="333333"/>
          <w:sz w:val="32"/>
          <w:szCs w:val="32"/>
        </w:rPr>
        <w:t> </w:t>
      </w:r>
      <w:r>
        <w:rPr>
          <w:rFonts w:hint="eastAsia" w:ascii="仿宋" w:hAnsi="仿宋" w:eastAsia="仿宋"/>
          <w:color w:val="333333"/>
          <w:sz w:val="32"/>
          <w:szCs w:val="32"/>
        </w:rPr>
        <w:t>销售者进货时，应当查验与商品条码对应的《系统成员证书》或者同等效力的证明文件。</w:t>
      </w:r>
    </w:p>
    <w:p w14:paraId="795B49B0">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第二十四条</w:t>
      </w:r>
      <w:r>
        <w:rPr>
          <w:rFonts w:hint="eastAsia"/>
          <w:color w:val="333333"/>
          <w:sz w:val="32"/>
          <w:szCs w:val="32"/>
        </w:rPr>
        <w:t> </w:t>
      </w:r>
      <w:r>
        <w:rPr>
          <w:rFonts w:hint="eastAsia" w:ascii="仿宋" w:hAnsi="仿宋" w:eastAsia="仿宋"/>
          <w:color w:val="333333"/>
          <w:sz w:val="32"/>
          <w:szCs w:val="32"/>
        </w:rPr>
        <w:t>销售者不得经销违反第二十一条规定的商品。</w:t>
      </w:r>
    </w:p>
    <w:p w14:paraId="2047A45F">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销售者不得以商品条码的名义向供货方收取进店费、上架费、信息处理费等费用，干扰商品条码的推广应用。</w:t>
      </w:r>
    </w:p>
    <w:p w14:paraId="48574464">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第二十五条</w:t>
      </w:r>
      <w:r>
        <w:rPr>
          <w:rFonts w:hint="eastAsia"/>
          <w:color w:val="333333"/>
          <w:sz w:val="32"/>
          <w:szCs w:val="32"/>
        </w:rPr>
        <w:t> </w:t>
      </w:r>
      <w:r>
        <w:rPr>
          <w:rFonts w:hint="eastAsia" w:ascii="仿宋" w:hAnsi="仿宋" w:eastAsia="仿宋"/>
          <w:color w:val="333333"/>
          <w:sz w:val="32"/>
          <w:szCs w:val="32"/>
        </w:rPr>
        <w:t>在国内生产的商品使用境外注册的商品条码时，生产者应当提供该商品条码的注册证明、授权委托书等相关证明，并到所在地的编码分支机构备案，由编码分支机构将备案材料报送编码中心。</w:t>
      </w:r>
    </w:p>
    <w:p w14:paraId="35162DBA">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第二十六条</w:t>
      </w:r>
      <w:r>
        <w:rPr>
          <w:rFonts w:hint="eastAsia"/>
          <w:color w:val="333333"/>
          <w:sz w:val="32"/>
          <w:szCs w:val="32"/>
        </w:rPr>
        <w:t> </w:t>
      </w:r>
      <w:r>
        <w:rPr>
          <w:rFonts w:hint="eastAsia" w:ascii="仿宋" w:hAnsi="仿宋" w:eastAsia="仿宋"/>
          <w:color w:val="333333"/>
          <w:sz w:val="32"/>
          <w:szCs w:val="32"/>
        </w:rPr>
        <w:t>国家质检总局、国家标准委负责组织全国商品条码的监督检查工作，各级地方质量技术监督行政部门负责本行政区域内商品条码的监督检查工作。</w:t>
      </w:r>
    </w:p>
    <w:p w14:paraId="23296569">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第二十七条</w:t>
      </w:r>
      <w:r>
        <w:rPr>
          <w:rFonts w:hint="eastAsia"/>
          <w:color w:val="333333"/>
          <w:sz w:val="32"/>
          <w:szCs w:val="32"/>
        </w:rPr>
        <w:t> </w:t>
      </w:r>
      <w:r>
        <w:rPr>
          <w:rFonts w:hint="eastAsia" w:ascii="仿宋" w:hAnsi="仿宋" w:eastAsia="仿宋"/>
          <w:color w:val="333333"/>
          <w:sz w:val="32"/>
          <w:szCs w:val="32"/>
        </w:rPr>
        <w:t>各地质量技术监督行政部门要积极配合地方政府和有关部门，引导商品生产者、销售者、服务提供者积极采用国际通用的商品代码及条码标识体系，使用商品条码，保证商品条码质量，提高企业在商品生产、储运、配送、销售等各环节的现代化管理水平。</w:t>
      </w:r>
    </w:p>
    <w:p w14:paraId="44462ACD">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color w:val="333333"/>
          <w:sz w:val="32"/>
          <w:szCs w:val="32"/>
        </w:rPr>
        <w:t> </w:t>
      </w:r>
    </w:p>
    <w:p w14:paraId="20E1F87C">
      <w:pPr>
        <w:pStyle w:val="6"/>
        <w:shd w:val="clear" w:color="auto" w:fill="FFFFFF"/>
        <w:spacing w:before="0" w:beforeAutospacing="0" w:after="0" w:afterAutospacing="0" w:line="630" w:lineRule="atLeast"/>
        <w:jc w:val="center"/>
        <w:rPr>
          <w:rFonts w:hint="eastAsia" w:ascii="仿宋" w:hAnsi="仿宋" w:eastAsia="仿宋"/>
          <w:color w:val="333333"/>
          <w:sz w:val="32"/>
          <w:szCs w:val="32"/>
        </w:rPr>
      </w:pPr>
      <w:r>
        <w:rPr>
          <w:rFonts w:hint="eastAsia" w:ascii="黑体" w:hAnsi="黑体" w:eastAsia="黑体"/>
          <w:color w:val="333333"/>
          <w:sz w:val="32"/>
          <w:szCs w:val="32"/>
        </w:rPr>
        <w:t>第五章　续展、变更和注销</w:t>
      </w:r>
    </w:p>
    <w:p w14:paraId="42660A11">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color w:val="333333"/>
          <w:sz w:val="32"/>
          <w:szCs w:val="32"/>
        </w:rPr>
        <w:t> </w:t>
      </w:r>
    </w:p>
    <w:p w14:paraId="67E0E061">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第二十八条</w:t>
      </w:r>
      <w:r>
        <w:rPr>
          <w:rFonts w:hint="eastAsia"/>
          <w:color w:val="333333"/>
          <w:sz w:val="32"/>
          <w:szCs w:val="32"/>
        </w:rPr>
        <w:t> </w:t>
      </w:r>
      <w:r>
        <w:rPr>
          <w:rFonts w:hint="eastAsia" w:ascii="仿宋" w:hAnsi="仿宋" w:eastAsia="仿宋"/>
          <w:color w:val="333333"/>
          <w:sz w:val="32"/>
          <w:szCs w:val="32"/>
        </w:rPr>
        <w:t>厂商识别代码有效期为2年。</w:t>
      </w:r>
    </w:p>
    <w:p w14:paraId="39C7394E">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系统成员应当在厂商识别代码有效期满前3个月内，到所在地的编码分支机构办理续展手续。逾期未办理续展手续的，注销其厂商识别代码和系统成员资格。</w:t>
      </w:r>
    </w:p>
    <w:p w14:paraId="12CE32C5">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第二十九条</w:t>
      </w:r>
      <w:r>
        <w:rPr>
          <w:rFonts w:hint="eastAsia"/>
          <w:color w:val="333333"/>
          <w:sz w:val="32"/>
          <w:szCs w:val="32"/>
        </w:rPr>
        <w:t> </w:t>
      </w:r>
      <w:r>
        <w:rPr>
          <w:rFonts w:hint="eastAsia" w:ascii="仿宋" w:hAnsi="仿宋" w:eastAsia="仿宋"/>
          <w:color w:val="333333"/>
          <w:sz w:val="32"/>
          <w:szCs w:val="32"/>
        </w:rPr>
        <w:t>系统成员的名称、地址、法定代表人等信息发生变化时，应当自有关部门批准之日起30内，持有关文件和《系统成员证书》到所在地的编码分支机构办理变更手续。</w:t>
      </w:r>
    </w:p>
    <w:p w14:paraId="58B991B8">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第三十条</w:t>
      </w:r>
      <w:r>
        <w:rPr>
          <w:rFonts w:hint="eastAsia"/>
          <w:color w:val="333333"/>
          <w:sz w:val="32"/>
          <w:szCs w:val="32"/>
        </w:rPr>
        <w:t> </w:t>
      </w:r>
      <w:r>
        <w:rPr>
          <w:rFonts w:hint="eastAsia" w:ascii="仿宋" w:hAnsi="仿宋" w:eastAsia="仿宋"/>
          <w:color w:val="333333"/>
          <w:sz w:val="32"/>
          <w:szCs w:val="32"/>
        </w:rPr>
        <w:t>系统成员停止使用厂商识别代码的，应当在停止使用之日起3个月内到所在地的编码分支机构办理注销手续。</w:t>
      </w:r>
    </w:p>
    <w:p w14:paraId="06C2E2C2">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第三十一条</w:t>
      </w:r>
      <w:r>
        <w:rPr>
          <w:rFonts w:hint="eastAsia"/>
          <w:color w:val="333333"/>
          <w:sz w:val="32"/>
          <w:szCs w:val="32"/>
        </w:rPr>
        <w:t> </w:t>
      </w:r>
      <w:r>
        <w:rPr>
          <w:rFonts w:hint="eastAsia" w:ascii="仿宋" w:hAnsi="仿宋" w:eastAsia="仿宋"/>
          <w:color w:val="333333"/>
          <w:sz w:val="32"/>
          <w:szCs w:val="32"/>
        </w:rPr>
        <w:t>已被注销厂商识别代码的生产者、销售者和服务提供者，需要使用商品条码时，应当重新申请注册厂商识别代码。</w:t>
      </w:r>
    </w:p>
    <w:p w14:paraId="662FC1A3">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第三十二条</w:t>
      </w:r>
      <w:r>
        <w:rPr>
          <w:rFonts w:hint="eastAsia"/>
          <w:color w:val="333333"/>
          <w:sz w:val="32"/>
          <w:szCs w:val="32"/>
        </w:rPr>
        <w:t> </w:t>
      </w:r>
      <w:r>
        <w:rPr>
          <w:rFonts w:hint="eastAsia" w:ascii="仿宋" w:hAnsi="仿宋" w:eastAsia="仿宋"/>
          <w:color w:val="333333"/>
          <w:sz w:val="32"/>
          <w:szCs w:val="32"/>
        </w:rPr>
        <w:t>任何单位和个人不得擅自使用已经注销的厂商识别代码和相应条码。</w:t>
      </w:r>
    </w:p>
    <w:p w14:paraId="64AEF790">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第三十三条</w:t>
      </w:r>
      <w:r>
        <w:rPr>
          <w:rFonts w:hint="eastAsia"/>
          <w:color w:val="333333"/>
          <w:sz w:val="32"/>
          <w:szCs w:val="32"/>
        </w:rPr>
        <w:t> </w:t>
      </w:r>
      <w:r>
        <w:rPr>
          <w:rFonts w:hint="eastAsia" w:ascii="仿宋" w:hAnsi="仿宋" w:eastAsia="仿宋"/>
          <w:color w:val="333333"/>
          <w:sz w:val="32"/>
          <w:szCs w:val="32"/>
        </w:rPr>
        <w:t>编码中心应当定期公告已被注销系统成员资格的企业名称及其厂商识别代码。</w:t>
      </w:r>
    </w:p>
    <w:p w14:paraId="0614C014">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color w:val="333333"/>
          <w:sz w:val="32"/>
          <w:szCs w:val="32"/>
        </w:rPr>
        <w:t> </w:t>
      </w:r>
    </w:p>
    <w:p w14:paraId="1271B6BA">
      <w:pPr>
        <w:pStyle w:val="6"/>
        <w:shd w:val="clear" w:color="auto" w:fill="FFFFFF"/>
        <w:spacing w:before="0" w:beforeAutospacing="0" w:after="0" w:afterAutospacing="0" w:line="630" w:lineRule="atLeast"/>
        <w:jc w:val="center"/>
        <w:rPr>
          <w:rFonts w:hint="eastAsia" w:ascii="仿宋" w:hAnsi="仿宋" w:eastAsia="仿宋"/>
          <w:color w:val="333333"/>
          <w:sz w:val="32"/>
          <w:szCs w:val="32"/>
        </w:rPr>
      </w:pPr>
      <w:r>
        <w:rPr>
          <w:rFonts w:hint="eastAsia" w:ascii="黑体" w:hAnsi="黑体" w:eastAsia="黑体"/>
          <w:color w:val="333333"/>
          <w:sz w:val="32"/>
          <w:szCs w:val="32"/>
        </w:rPr>
        <w:t>第六章　法律责任</w:t>
      </w:r>
    </w:p>
    <w:p w14:paraId="552E3482">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color w:val="333333"/>
          <w:sz w:val="32"/>
          <w:szCs w:val="32"/>
        </w:rPr>
        <w:t> </w:t>
      </w:r>
    </w:p>
    <w:p w14:paraId="33FE6E3D">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第三十四条</w:t>
      </w:r>
      <w:r>
        <w:rPr>
          <w:rFonts w:hint="eastAsia"/>
          <w:color w:val="333333"/>
          <w:sz w:val="32"/>
          <w:szCs w:val="32"/>
        </w:rPr>
        <w:t> </w:t>
      </w:r>
      <w:bookmarkStart w:id="0" w:name="_GoBack"/>
      <w:r>
        <w:rPr>
          <w:rFonts w:hint="eastAsia" w:ascii="仿宋" w:hAnsi="仿宋" w:eastAsia="仿宋"/>
          <w:color w:val="333333"/>
          <w:sz w:val="32"/>
          <w:szCs w:val="32"/>
        </w:rPr>
        <w:t>系</w:t>
      </w:r>
      <w:r>
        <w:rPr>
          <w:rFonts w:hint="eastAsia" w:ascii="仿宋" w:hAnsi="仿宋" w:eastAsia="仿宋"/>
          <w:color w:val="333333"/>
          <w:sz w:val="32"/>
          <w:szCs w:val="32"/>
          <w:highlight w:val="yellow"/>
        </w:rPr>
        <w:t>统</w:t>
      </w:r>
      <w:bookmarkEnd w:id="0"/>
      <w:r>
        <w:rPr>
          <w:rFonts w:hint="eastAsia" w:ascii="仿宋" w:hAnsi="仿宋" w:eastAsia="仿宋"/>
          <w:color w:val="333333"/>
          <w:sz w:val="32"/>
          <w:szCs w:val="32"/>
          <w:highlight w:val="yellow"/>
        </w:rPr>
        <w:t>成员转让厂商识别代码和相应条码的，责令其改正，没收违法所得，处以3000元罚款。</w:t>
      </w:r>
    </w:p>
    <w:p w14:paraId="0F4FCEBB">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第三十五条</w:t>
      </w:r>
      <w:r>
        <w:rPr>
          <w:rFonts w:hint="eastAsia"/>
          <w:color w:val="333333"/>
          <w:sz w:val="32"/>
          <w:szCs w:val="32"/>
        </w:rPr>
        <w:t> </w:t>
      </w:r>
      <w:r>
        <w:rPr>
          <w:rFonts w:hint="eastAsia" w:ascii="仿宋" w:hAnsi="仿宋" w:eastAsia="仿宋"/>
          <w:color w:val="333333"/>
          <w:sz w:val="32"/>
          <w:szCs w:val="32"/>
        </w:rPr>
        <w:t>未经核准注册使用厂商识别代码和相应商品条码的，在商品包装上使用其他条码冒充商品条码或伪造商品条码的，或者使用已经注销的厂商识别代码和相应商品条码的，责令其改正，处以30000元以下罚款。</w:t>
      </w:r>
    </w:p>
    <w:p w14:paraId="4B410991">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第三十六条</w:t>
      </w:r>
      <w:r>
        <w:rPr>
          <w:rFonts w:hint="eastAsia"/>
          <w:color w:val="333333"/>
          <w:sz w:val="32"/>
          <w:szCs w:val="32"/>
        </w:rPr>
        <w:t> </w:t>
      </w:r>
      <w:r>
        <w:rPr>
          <w:rFonts w:hint="eastAsia" w:ascii="仿宋" w:hAnsi="仿宋" w:eastAsia="仿宋"/>
          <w:color w:val="333333"/>
          <w:sz w:val="32"/>
          <w:szCs w:val="32"/>
        </w:rPr>
        <w:t>经销的商品印有未经核准注册、备案或者伪造的商品条码的，责令其改正，处以10000元以下罚款。</w:t>
      </w:r>
    </w:p>
    <w:p w14:paraId="7B2C5F89">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第三十七条</w:t>
      </w:r>
      <w:r>
        <w:rPr>
          <w:rFonts w:hint="eastAsia"/>
          <w:color w:val="333333"/>
          <w:sz w:val="32"/>
          <w:szCs w:val="32"/>
        </w:rPr>
        <w:t> </w:t>
      </w:r>
      <w:r>
        <w:rPr>
          <w:rFonts w:hint="eastAsia" w:ascii="仿宋" w:hAnsi="仿宋" w:eastAsia="仿宋"/>
          <w:color w:val="333333"/>
          <w:sz w:val="32"/>
          <w:szCs w:val="32"/>
        </w:rPr>
        <w:t>销售者以商品条码的名义向供货商收取进店费等不正当费用的，供货商可依法要求退还。</w:t>
      </w:r>
    </w:p>
    <w:p w14:paraId="33269C40">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第三十八条</w:t>
      </w:r>
      <w:r>
        <w:rPr>
          <w:rFonts w:hint="eastAsia"/>
          <w:color w:val="333333"/>
          <w:sz w:val="32"/>
          <w:szCs w:val="32"/>
        </w:rPr>
        <w:t> </w:t>
      </w:r>
      <w:r>
        <w:rPr>
          <w:rFonts w:hint="eastAsia" w:ascii="仿宋" w:hAnsi="仿宋" w:eastAsia="仿宋"/>
          <w:color w:val="333333"/>
          <w:sz w:val="32"/>
          <w:szCs w:val="32"/>
        </w:rPr>
        <w:t>本章所规定的行政处罚由县以上地方质量技术监督行政部门负责实施。</w:t>
      </w:r>
    </w:p>
    <w:p w14:paraId="15ABF041">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第三十九条</w:t>
      </w:r>
      <w:r>
        <w:rPr>
          <w:rFonts w:hint="eastAsia"/>
          <w:color w:val="333333"/>
          <w:sz w:val="32"/>
          <w:szCs w:val="32"/>
        </w:rPr>
        <w:t> </w:t>
      </w:r>
      <w:r>
        <w:rPr>
          <w:rFonts w:hint="eastAsia" w:ascii="仿宋" w:hAnsi="仿宋" w:eastAsia="仿宋"/>
          <w:color w:val="333333"/>
          <w:sz w:val="32"/>
          <w:szCs w:val="32"/>
        </w:rPr>
        <w:t>当事人对行政处罚不服的，可以依法申请行政复议或者提起行政诉讼。</w:t>
      </w:r>
    </w:p>
    <w:p w14:paraId="3C7E7BDF">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第四十条</w:t>
      </w:r>
      <w:r>
        <w:rPr>
          <w:rFonts w:hint="eastAsia"/>
          <w:color w:val="333333"/>
          <w:sz w:val="32"/>
          <w:szCs w:val="32"/>
        </w:rPr>
        <w:t> </w:t>
      </w:r>
      <w:r>
        <w:rPr>
          <w:rFonts w:hint="eastAsia" w:ascii="仿宋" w:hAnsi="仿宋" w:eastAsia="仿宋"/>
          <w:color w:val="333333"/>
          <w:sz w:val="32"/>
          <w:szCs w:val="32"/>
        </w:rPr>
        <w:t>质量技术监督行政部门应当加强对条码工作机构的管理与监督。因条码工作机构及工作人员的失误，给系统成员造成重大损失的，依法给予行政处分。</w:t>
      </w:r>
    </w:p>
    <w:p w14:paraId="6C2AF04D">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第四十一条</w:t>
      </w:r>
      <w:r>
        <w:rPr>
          <w:rFonts w:hint="eastAsia"/>
          <w:color w:val="333333"/>
          <w:sz w:val="32"/>
          <w:szCs w:val="32"/>
        </w:rPr>
        <w:t> </w:t>
      </w:r>
      <w:r>
        <w:rPr>
          <w:rFonts w:hint="eastAsia" w:ascii="仿宋" w:hAnsi="仿宋" w:eastAsia="仿宋"/>
          <w:color w:val="333333"/>
          <w:sz w:val="32"/>
          <w:szCs w:val="32"/>
        </w:rPr>
        <w:t>从事商品条码管理工作的国家工作人员滥用职权、徇私舞弊的，由其主管部门给予行政处分；构成犯罪的，依法追究其刑事责任。</w:t>
      </w:r>
    </w:p>
    <w:p w14:paraId="4A988662">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color w:val="333333"/>
          <w:sz w:val="32"/>
          <w:szCs w:val="32"/>
        </w:rPr>
        <w:t> </w:t>
      </w:r>
    </w:p>
    <w:p w14:paraId="648A434A">
      <w:pPr>
        <w:pStyle w:val="6"/>
        <w:shd w:val="clear" w:color="auto" w:fill="FFFFFF"/>
        <w:spacing w:before="0" w:beforeAutospacing="0" w:after="0" w:afterAutospacing="0" w:line="630" w:lineRule="atLeast"/>
        <w:jc w:val="center"/>
        <w:rPr>
          <w:rFonts w:hint="eastAsia" w:ascii="仿宋" w:hAnsi="仿宋" w:eastAsia="仿宋"/>
          <w:color w:val="333333"/>
          <w:sz w:val="32"/>
          <w:szCs w:val="32"/>
        </w:rPr>
      </w:pPr>
      <w:r>
        <w:rPr>
          <w:rFonts w:hint="eastAsia" w:ascii="黑体" w:hAnsi="黑体" w:eastAsia="黑体"/>
          <w:color w:val="333333"/>
          <w:sz w:val="32"/>
          <w:szCs w:val="32"/>
        </w:rPr>
        <w:t>第七章　附则</w:t>
      </w:r>
    </w:p>
    <w:p w14:paraId="612D8C37">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color w:val="333333"/>
          <w:sz w:val="32"/>
          <w:szCs w:val="32"/>
        </w:rPr>
        <w:t> </w:t>
      </w:r>
    </w:p>
    <w:p w14:paraId="1826A773">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第四十二条</w:t>
      </w:r>
      <w:r>
        <w:rPr>
          <w:rFonts w:hint="eastAsia"/>
          <w:color w:val="333333"/>
          <w:sz w:val="32"/>
          <w:szCs w:val="32"/>
        </w:rPr>
        <w:t> </w:t>
      </w:r>
      <w:r>
        <w:rPr>
          <w:rFonts w:hint="eastAsia" w:ascii="仿宋" w:hAnsi="仿宋" w:eastAsia="仿宋"/>
          <w:color w:val="333333"/>
          <w:sz w:val="32"/>
          <w:szCs w:val="32"/>
        </w:rPr>
        <w:t>本办法下列用语的含义是：</w:t>
      </w:r>
    </w:p>
    <w:p w14:paraId="1259D62B">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商品条码是由一组规则排列的条、空及其对应代码组成，是表示商品特定信息的标识。</w:t>
      </w:r>
    </w:p>
    <w:p w14:paraId="6E26D48E">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零售商品代码与条码是指以满足零售扫描结算为主要目的，而为商品单元编制的代码和条码标识。</w:t>
      </w:r>
    </w:p>
    <w:p w14:paraId="0170B7A6">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非零售商品代码与条码是指以满足非零售结算为目的，而为商品单元所编制的代码和条码标识。在流通环节中，可以对该商品单元进行定价、订购或开据发票。</w:t>
      </w:r>
    </w:p>
    <w:p w14:paraId="1C02A144">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物流单元代码与条码是指对物流中临时性商品包装单元所编制的代码和条码标识。</w:t>
      </w:r>
    </w:p>
    <w:p w14:paraId="7EAA67AC">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位置代码与条码是指对厂商的物理位置、职能部门等所编制的代码与条码标识。</w:t>
      </w:r>
    </w:p>
    <w:p w14:paraId="215A5D75">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厂商识别代码是指国际通用的商品标识系统中表示厂商的惟一代码，是商品条码的重要组成部分。</w:t>
      </w:r>
    </w:p>
    <w:p w14:paraId="44507DD0">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商品代码是指包含厂商识别代码在内的对零售商品、非零售商品、物流单元、位置、资产及服务进行全球惟一标识的一组数字代码。</w:t>
      </w:r>
    </w:p>
    <w:p w14:paraId="6FA55DEB">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店内条码是指商店为便于商品在店内管理而对商品自行编制的临时性代码及条码标识。</w:t>
      </w:r>
    </w:p>
    <w:p w14:paraId="3458F838">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第四十三条</w:t>
      </w:r>
      <w:r>
        <w:rPr>
          <w:rFonts w:hint="eastAsia"/>
          <w:color w:val="333333"/>
          <w:sz w:val="32"/>
          <w:szCs w:val="32"/>
        </w:rPr>
        <w:t> </w:t>
      </w:r>
      <w:r>
        <w:rPr>
          <w:rFonts w:hint="eastAsia" w:ascii="仿宋" w:hAnsi="仿宋" w:eastAsia="仿宋"/>
          <w:color w:val="333333"/>
          <w:sz w:val="32"/>
          <w:szCs w:val="32"/>
        </w:rPr>
        <w:t>商品条码收费按照国家有关规定执行。</w:t>
      </w:r>
    </w:p>
    <w:p w14:paraId="2F543EAB">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第四十四条</w:t>
      </w:r>
      <w:r>
        <w:rPr>
          <w:rFonts w:hint="eastAsia"/>
          <w:color w:val="333333"/>
          <w:sz w:val="32"/>
          <w:szCs w:val="32"/>
        </w:rPr>
        <w:t> </w:t>
      </w:r>
      <w:r>
        <w:rPr>
          <w:rFonts w:hint="eastAsia" w:ascii="仿宋" w:hAnsi="仿宋" w:eastAsia="仿宋"/>
          <w:color w:val="333333"/>
          <w:sz w:val="32"/>
          <w:szCs w:val="32"/>
        </w:rPr>
        <w:t>本办法由国家质检总局负责解释。</w:t>
      </w:r>
    </w:p>
    <w:p w14:paraId="26E74777">
      <w:pPr>
        <w:pStyle w:val="6"/>
        <w:shd w:val="clear" w:color="auto" w:fill="FFFFFF"/>
        <w:spacing w:before="0" w:beforeAutospacing="0" w:after="0" w:afterAutospacing="0" w:line="630" w:lineRule="atLeast"/>
        <w:jc w:val="both"/>
        <w:rPr>
          <w:rFonts w:hint="eastAsia" w:ascii="仿宋" w:hAnsi="仿宋" w:eastAsia="仿宋"/>
          <w:color w:val="333333"/>
          <w:sz w:val="32"/>
          <w:szCs w:val="32"/>
        </w:rPr>
      </w:pPr>
      <w:r>
        <w:rPr>
          <w:rFonts w:hint="eastAsia" w:ascii="仿宋" w:hAnsi="仿宋" w:eastAsia="仿宋"/>
          <w:color w:val="333333"/>
          <w:sz w:val="32"/>
          <w:szCs w:val="32"/>
        </w:rPr>
        <w:t>　　</w:t>
      </w:r>
      <w:r>
        <w:rPr>
          <w:rFonts w:hint="eastAsia" w:ascii="黑体" w:hAnsi="黑体" w:eastAsia="黑体"/>
          <w:color w:val="333333"/>
          <w:sz w:val="32"/>
          <w:szCs w:val="32"/>
        </w:rPr>
        <w:t>第四十五条</w:t>
      </w:r>
      <w:r>
        <w:rPr>
          <w:rFonts w:hint="eastAsia"/>
          <w:color w:val="333333"/>
          <w:sz w:val="32"/>
          <w:szCs w:val="32"/>
        </w:rPr>
        <w:t> </w:t>
      </w:r>
      <w:r>
        <w:rPr>
          <w:rFonts w:hint="eastAsia" w:ascii="仿宋" w:hAnsi="仿宋" w:eastAsia="仿宋"/>
          <w:color w:val="333333"/>
          <w:sz w:val="32"/>
          <w:szCs w:val="32"/>
        </w:rPr>
        <w:t>本办法自2005年10月1日起施行。1998年7月3日原国家质量技术监督局颁布的《商品条码管理办法》同时废止。</w:t>
      </w:r>
    </w:p>
    <w:p w14:paraId="34FE220F"/>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C2802E">
    <w:pPr>
      <w:pStyle w:val="5"/>
      <w:pBdr>
        <w:left w:val="none" w:color="auto" w:sz="0" w:space="0"/>
      </w:pBdr>
      <w:tabs>
        <w:tab w:val="left" w:pos="6522"/>
      </w:tabs>
      <w:ind w:left="1558" w:leftChars="742"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E2E9D2">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07E2E9D2">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ab/>
    </w:r>
    <w:r>
      <w:rPr>
        <w:rFonts w:hint="eastAsia" w:eastAsia="仿宋"/>
        <w:sz w:val="32"/>
        <w:szCs w:val="48"/>
      </w:rPr>
      <w:tab/>
    </w:r>
    <w:r>
      <w:rPr>
        <w:rFonts w:hint="eastAsia" w:eastAsia="仿宋"/>
        <w:sz w:val="32"/>
        <w:szCs w:val="48"/>
      </w:rPr>
      <w:tab/>
    </w:r>
    <w:r>
      <w:rPr>
        <w:rFonts w:hint="eastAsia" w:eastAsia="仿宋"/>
        <w:sz w:val="32"/>
        <w:szCs w:val="48"/>
      </w:rPr>
      <w:t xml:space="preserve">  </w:t>
    </w:r>
  </w:p>
  <w:p w14:paraId="56649E9B">
    <w:pPr>
      <w:pStyle w:val="5"/>
      <w:pBdr>
        <w:left w:val="none" w:color="auto" w:sz="0" w:space="0"/>
      </w:pBdr>
      <w:wordWrap w:val="0"/>
      <w:ind w:left="1558" w:leftChars="742" w:right="55" w:rightChars="26" w:firstLine="2"/>
      <w:jc w:val="right"/>
      <w:rPr>
        <w:rFonts w:eastAsia="仿宋"/>
        <w:color w:val="FAFAFA"/>
        <w:sz w:val="32"/>
        <w:szCs w:val="48"/>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p>
  <w:p w14:paraId="5148F620">
    <w:pPr>
      <w:pStyle w:val="5"/>
      <w:pBdr>
        <w:left w:val="none" w:color="auto" w:sz="0" w:space="0"/>
      </w:pBdr>
      <w:tabs>
        <w:tab w:val="right" w:pos="1560"/>
        <w:tab w:val="clear" w:pos="8306"/>
      </w:tabs>
      <w:wordWrap w:val="0"/>
      <w:ind w:left="1558" w:leftChars="742" w:right="481" w:rightChars="229" w:firstLine="2"/>
      <w:jc w:val="right"/>
      <w:rPr>
        <w:rFonts w:ascii="宋体" w:hAnsi="宋体" w:eastAsia="宋体" w:cs="宋体"/>
        <w:b/>
        <w:bCs/>
        <w:color w:val="005192"/>
        <w:sz w:val="28"/>
        <w:szCs w:val="44"/>
      </w:rPr>
    </w:pPr>
    <w:r>
      <w:rPr>
        <w:rFonts w:hint="eastAsia" w:ascii="宋体" w:hAnsi="宋体" w:eastAsia="宋体" w:cs="宋体"/>
        <w:b/>
        <w:bCs/>
        <w:color w:val="005192"/>
        <w:sz w:val="28"/>
        <w:szCs w:val="44"/>
      </w:rPr>
      <w:t>国家质量监督检验检疫总局发布</w:t>
    </w:r>
  </w:p>
  <w:p w14:paraId="0F79DECA">
    <w:pPr>
      <w:pStyle w:val="5"/>
      <w:pBdr>
        <w:left w:val="none" w:color="auto" w:sz="0" w:space="0"/>
      </w:pBdr>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1A2826">
    <w:pPr>
      <w:pStyle w:val="5"/>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575A6A73">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1" name="图片 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国家市场监督管理总局</w:t>
    </w:r>
    <w:r>
      <w:rPr>
        <w:rFonts w:hint="eastAsia" w:ascii="宋体" w:hAnsi="宋体" w:eastAsia="宋体" w:cs="宋体"/>
        <w:b/>
        <w:bCs/>
        <w:color w:val="005192"/>
        <w:sz w:val="32"/>
        <w:szCs w:val="32"/>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hiNmQ5YjA3MDViOTllOGI0MGI5YTRiMDMwMWRjYTIifQ=="/>
  </w:docVars>
  <w:rsids>
    <w:rsidRoot w:val="00172A27"/>
    <w:rsid w:val="00090A43"/>
    <w:rsid w:val="000F7C3B"/>
    <w:rsid w:val="00172A27"/>
    <w:rsid w:val="00190F0F"/>
    <w:rsid w:val="00637CAC"/>
    <w:rsid w:val="00741731"/>
    <w:rsid w:val="00750507"/>
    <w:rsid w:val="00891FFC"/>
    <w:rsid w:val="00915729"/>
    <w:rsid w:val="00960532"/>
    <w:rsid w:val="009D125D"/>
    <w:rsid w:val="00AC5533"/>
    <w:rsid w:val="00B900B7"/>
    <w:rsid w:val="00BA7A05"/>
    <w:rsid w:val="00C26E20"/>
    <w:rsid w:val="00D7266E"/>
    <w:rsid w:val="00DB2FC6"/>
    <w:rsid w:val="00F1250C"/>
    <w:rsid w:val="00FB339E"/>
    <w:rsid w:val="019E71BD"/>
    <w:rsid w:val="04B679C3"/>
    <w:rsid w:val="080F63D8"/>
    <w:rsid w:val="09341458"/>
    <w:rsid w:val="0B0912D7"/>
    <w:rsid w:val="152D2DCA"/>
    <w:rsid w:val="1DEC284C"/>
    <w:rsid w:val="1E6523AC"/>
    <w:rsid w:val="1F361A96"/>
    <w:rsid w:val="22440422"/>
    <w:rsid w:val="25117842"/>
    <w:rsid w:val="31A15F24"/>
    <w:rsid w:val="395347B5"/>
    <w:rsid w:val="39A232A0"/>
    <w:rsid w:val="39E745AA"/>
    <w:rsid w:val="3B5A6BBB"/>
    <w:rsid w:val="3D2338FA"/>
    <w:rsid w:val="3EDA13A6"/>
    <w:rsid w:val="42F058B7"/>
    <w:rsid w:val="436109F6"/>
    <w:rsid w:val="441A38D4"/>
    <w:rsid w:val="49D91622"/>
    <w:rsid w:val="4BC77339"/>
    <w:rsid w:val="4C9236C5"/>
    <w:rsid w:val="505C172E"/>
    <w:rsid w:val="512207F0"/>
    <w:rsid w:val="52F46F0B"/>
    <w:rsid w:val="53D8014D"/>
    <w:rsid w:val="55E064E0"/>
    <w:rsid w:val="572C6D10"/>
    <w:rsid w:val="5DC34279"/>
    <w:rsid w:val="608816D1"/>
    <w:rsid w:val="60EF4E7F"/>
    <w:rsid w:val="665233C1"/>
    <w:rsid w:val="6AD9688B"/>
    <w:rsid w:val="6D0E3F22"/>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2"/>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uiPriority w:val="99"/>
    <w:pPr>
      <w:widowControl/>
      <w:spacing w:before="100" w:beforeAutospacing="1" w:after="100" w:afterAutospacing="1"/>
      <w:jc w:val="left"/>
    </w:pPr>
    <w:rPr>
      <w:rFonts w:ascii="宋体" w:hAnsi="宋体" w:eastAsia="宋体" w:cs="宋体"/>
      <w:kern w:val="0"/>
      <w:sz w:val="24"/>
    </w:rPr>
  </w:style>
  <w:style w:type="character" w:styleId="9">
    <w:name w:val="Strong"/>
    <w:basedOn w:val="8"/>
    <w:qFormat/>
    <w:uiPriority w:val="22"/>
    <w:rPr>
      <w:b/>
      <w:bCs/>
    </w:rPr>
  </w:style>
  <w:style w:type="character" w:styleId="10">
    <w:name w:val="FollowedHyperlink"/>
    <w:basedOn w:val="8"/>
    <w:uiPriority w:val="0"/>
    <w:rPr>
      <w:color w:val="2B84B5"/>
    </w:rPr>
  </w:style>
  <w:style w:type="character" w:styleId="11">
    <w:name w:val="Hyperlink"/>
    <w:basedOn w:val="8"/>
    <w:uiPriority w:val="0"/>
    <w:rPr>
      <w:rFonts w:hint="eastAsia" w:ascii="微软雅黑" w:hAnsi="微软雅黑" w:eastAsia="微软雅黑" w:cs="微软雅黑"/>
      <w:color w:val="0000FF"/>
      <w:u w:val="none"/>
    </w:rPr>
  </w:style>
  <w:style w:type="character" w:customStyle="1" w:styleId="12">
    <w:name w:val="批注框文本 Char"/>
    <w:basedOn w:val="8"/>
    <w:link w:val="3"/>
    <w:qFormat/>
    <w:uiPriority w:val="0"/>
    <w:rPr>
      <w:rFonts w:asciiTheme="minorHAnsi" w:hAnsiTheme="minorHAnsi" w:eastAsiaTheme="minorEastAsia" w:cstheme="minorBidi"/>
      <w:kern w:val="2"/>
      <w:sz w:val="18"/>
      <w:szCs w:val="18"/>
    </w:rPr>
  </w:style>
  <w:style w:type="paragraph" w:styleId="13">
    <w:name w:val="List Paragraph"/>
    <w:basedOn w:val="1"/>
    <w:unhideWhenUsed/>
    <w:uiPriority w:val="99"/>
    <w:pPr>
      <w:ind w:firstLine="420" w:firstLineChars="200"/>
    </w:pPr>
  </w:style>
  <w:style w:type="character" w:customStyle="1" w:styleId="14">
    <w:name w:val="noline"/>
    <w:basedOn w:val="8"/>
    <w:uiPriority w:val="0"/>
  </w:style>
  <w:style w:type="character" w:customStyle="1" w:styleId="15">
    <w:name w:val="hover54"/>
    <w:basedOn w:val="8"/>
    <w:uiPriority w:val="0"/>
    <w:rPr>
      <w:color w:val="025291"/>
    </w:rPr>
  </w:style>
  <w:style w:type="character" w:customStyle="1" w:styleId="16">
    <w:name w:val="hover55"/>
    <w:basedOn w:val="8"/>
    <w:uiPriority w:val="0"/>
    <w:rPr>
      <w:color w:val="2B84B5"/>
    </w:rPr>
  </w:style>
  <w:style w:type="character" w:customStyle="1" w:styleId="17">
    <w:name w:val="hover56"/>
    <w:basedOn w:val="8"/>
    <w:uiPriority w:val="0"/>
    <w:rPr>
      <w:color w:val="D52222"/>
    </w:rPr>
  </w:style>
  <w:style w:type="character" w:customStyle="1" w:styleId="18">
    <w:name w:val="place"/>
    <w:basedOn w:val="8"/>
    <w:uiPriority w:val="0"/>
  </w:style>
  <w:style w:type="character" w:customStyle="1" w:styleId="19">
    <w:name w:val="place1"/>
    <w:basedOn w:val="8"/>
    <w:uiPriority w:val="0"/>
    <w:rPr>
      <w:rFonts w:ascii="微软雅黑" w:hAnsi="微软雅黑" w:eastAsia="微软雅黑" w:cs="微软雅黑"/>
      <w:color w:val="888888"/>
      <w:sz w:val="25"/>
      <w:szCs w:val="25"/>
    </w:rPr>
  </w:style>
  <w:style w:type="character" w:customStyle="1" w:styleId="20">
    <w:name w:val="place2"/>
    <w:basedOn w:val="8"/>
    <w:uiPriority w:val="0"/>
  </w:style>
  <w:style w:type="character" w:customStyle="1" w:styleId="21">
    <w:name w:val="place3"/>
    <w:basedOn w:val="8"/>
    <w:uiPriority w:val="0"/>
  </w:style>
  <w:style w:type="character" w:customStyle="1" w:styleId="22">
    <w:name w:val="file"/>
    <w:basedOn w:val="8"/>
    <w:uiPriority w:val="0"/>
    <w:rPr>
      <w:color w:val="4D4D4D"/>
      <w:sz w:val="21"/>
      <w:szCs w:val="21"/>
    </w:rPr>
  </w:style>
  <w:style w:type="character" w:customStyle="1" w:styleId="23">
    <w:name w:val="folder"/>
    <w:basedOn w:val="8"/>
    <w:uiPriority w:val="0"/>
  </w:style>
  <w:style w:type="character" w:customStyle="1" w:styleId="24">
    <w:name w:val="folder1"/>
    <w:basedOn w:val="8"/>
    <w:uiPriority w:val="0"/>
    <w:rPr>
      <w:color w:val="4D4D4D"/>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Home</Company>
  <Pages>10</Pages>
  <Words>3403</Words>
  <Characters>3473</Characters>
  <Lines>26</Lines>
  <Paragraphs>7</Paragraphs>
  <TotalTime>69</TotalTime>
  <ScaleCrop>false</ScaleCrop>
  <LinksUpToDate>false</LinksUpToDate>
  <CharactersWithSpaces>3668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多多</cp:lastModifiedBy>
  <cp:lastPrinted>2021-10-26T03:30:00Z</cp:lastPrinted>
  <dcterms:modified xsi:type="dcterms:W3CDTF">2024-10-16T06:55:32Z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48C61CB29D3F4D9384F5922CF0F7FFB4</vt:lpwstr>
  </property>
</Properties>
</file>