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64DF5C">
      <w:pPr>
        <w:pStyle w:val="10"/>
        <w:jc w:val="center"/>
        <w:rPr>
          <w:rFonts w:ascii="Times New Roman" w:hAnsi="Times New Roman" w:cs="Times New Roman"/>
          <w:sz w:val="44"/>
          <w:szCs w:val="44"/>
        </w:rPr>
      </w:pPr>
    </w:p>
    <w:p w14:paraId="41004EA6">
      <w:pPr>
        <w:pStyle w:val="10"/>
        <w:jc w:val="center"/>
        <w:rPr>
          <w:rFonts w:ascii="Times New Roman" w:hAnsi="Times New Roman" w:cs="Times New Roman"/>
          <w:sz w:val="32"/>
          <w:szCs w:val="32"/>
        </w:rPr>
      </w:pPr>
      <w:bookmarkStart w:id="0" w:name="_GoBack"/>
      <w:r>
        <w:rPr>
          <w:rFonts w:ascii="Times New Roman" w:hAnsi="Times New Roman" w:cs="Times New Roman"/>
          <w:sz w:val="44"/>
          <w:szCs w:val="44"/>
        </w:rPr>
        <w:t>烟花爆竹安全管理条例</w:t>
      </w:r>
      <w:bookmarkEnd w:id="0"/>
    </w:p>
    <w:p w14:paraId="1982FAE5">
      <w:pPr>
        <w:pStyle w:val="10"/>
        <w:ind w:firstLine="640" w:firstLineChars="200"/>
        <w:jc w:val="center"/>
        <w:rPr>
          <w:rFonts w:ascii="Times New Roman" w:hAnsi="Times New Roman" w:cs="Times New Roman"/>
          <w:sz w:val="32"/>
          <w:szCs w:val="32"/>
        </w:rPr>
      </w:pPr>
    </w:p>
    <w:p w14:paraId="3CB0C49C">
      <w:pPr>
        <w:pStyle w:val="10"/>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(2006年1月21日中华人民共和国国务院令第455号公布　根据2016年2月6日《国务院关于修改部分行政法规的决定》修订)</w:t>
      </w:r>
    </w:p>
    <w:p w14:paraId="55EFD920">
      <w:pPr>
        <w:pStyle w:val="3"/>
        <w:rPr>
          <w:sz w:val="32"/>
          <w:szCs w:val="32"/>
        </w:rPr>
      </w:pPr>
      <w:r>
        <w:rPr>
          <w:rFonts w:ascii="Times New Roman" w:hAnsi="Times New Roman" w:cs="Times New Roman"/>
          <w:sz w:val="32"/>
          <w:szCs w:val="32"/>
        </w:rPr>
        <w:t>第一章　总则</w:t>
      </w:r>
    </w:p>
    <w:p w14:paraId="6BCBA3B8">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第一条</w:t>
      </w:r>
      <w:r>
        <w:rPr>
          <w:rFonts w:ascii="Times New Roman" w:hAnsi="Times New Roman" w:eastAsia="仿宋_GB2312" w:cs="Times New Roman"/>
          <w:sz w:val="32"/>
          <w:szCs w:val="32"/>
        </w:rPr>
        <w:t>　为了加强烟花爆竹安全管理，预防爆炸事故发生，保障公共安全和人身、财产的安全，制定本条例。</w:t>
      </w:r>
    </w:p>
    <w:p w14:paraId="074BBF0B">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第二条</w:t>
      </w:r>
      <w:r>
        <w:rPr>
          <w:rFonts w:ascii="Times New Roman" w:hAnsi="Times New Roman" w:eastAsia="仿宋_GB2312" w:cs="Times New Roman"/>
          <w:sz w:val="32"/>
          <w:szCs w:val="32"/>
        </w:rPr>
        <w:t>　烟花爆竹的生产、经营、运输和燃放，适用本条例。</w:t>
      </w:r>
    </w:p>
    <w:p w14:paraId="41E1882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本条例所称烟花爆竹，是指烟花爆竹制品和用于生产烟花爆竹的民用黑火药、烟火药、引火线等物品。</w:t>
      </w:r>
    </w:p>
    <w:p w14:paraId="1800F534">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第三条</w:t>
      </w:r>
      <w:r>
        <w:rPr>
          <w:rFonts w:ascii="Times New Roman" w:hAnsi="Times New Roman" w:eastAsia="仿宋_GB2312" w:cs="Times New Roman"/>
          <w:sz w:val="32"/>
          <w:szCs w:val="32"/>
        </w:rPr>
        <w:t>　国家对烟花爆竹的生产、经营、运输和举办焰火晚会以及其他大型焰火燃放活动，实行许可证制度。</w:t>
      </w:r>
    </w:p>
    <w:p w14:paraId="2C59DEA9">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未经许可，任何单位或者个人不得生产、经营、运输烟花爆竹，不得举办焰火晚会以及其他大型焰火燃放活动。</w:t>
      </w:r>
    </w:p>
    <w:p w14:paraId="580532E8">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第四条</w:t>
      </w:r>
      <w:r>
        <w:rPr>
          <w:rFonts w:ascii="Times New Roman" w:hAnsi="Times New Roman" w:eastAsia="仿宋_GB2312" w:cs="Times New Roman"/>
          <w:sz w:val="32"/>
          <w:szCs w:val="32"/>
        </w:rPr>
        <w:t>　安全生产监督管理部门负责烟花爆竹的安全生产监督管理；公安部门负责烟花爆竹的公共安全管理；质量监督检验部门负责烟花爆竹的质量监督和进出口检验。</w:t>
      </w:r>
    </w:p>
    <w:p w14:paraId="7EFDD357">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第五条</w:t>
      </w:r>
      <w:r>
        <w:rPr>
          <w:rFonts w:ascii="Times New Roman" w:hAnsi="Times New Roman" w:eastAsia="仿宋_GB2312" w:cs="Times New Roman"/>
          <w:sz w:val="32"/>
          <w:szCs w:val="32"/>
        </w:rPr>
        <w:t>　公安部门、安全生产监督管理部门、质量监督检验部门、工商行政管理部门应当按照职责分工，组织查处非法生产、经营、储存、运输、邮寄烟花爆竹以及非法燃放烟花爆竹的行为。</w:t>
      </w:r>
    </w:p>
    <w:p w14:paraId="001FF669">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第六条</w:t>
      </w:r>
      <w:r>
        <w:rPr>
          <w:rFonts w:ascii="Times New Roman" w:hAnsi="Times New Roman" w:eastAsia="仿宋_GB2312" w:cs="Times New Roman"/>
          <w:sz w:val="32"/>
          <w:szCs w:val="32"/>
        </w:rPr>
        <w:t>　烟花爆竹生产、经营、运输企业和焰火晚会以及其他大型焰火燃放活动主办单位的主要负责人，对本单位的烟花爆竹安全工作负责。</w:t>
      </w:r>
    </w:p>
    <w:p w14:paraId="7F1F586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烟花爆竹生产、经营、运输企业和焰火晚会以及其他大型焰火燃放活动主办单位应当建立健全安全责任制，制定各项安全管理制度和操作规程，并对从业人员定期进行安全教育、法制教育和岗位技术培训。</w:t>
      </w:r>
    </w:p>
    <w:p w14:paraId="5E631E4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中华全国供销合作总社应当加强对本系统企业烟花爆竹经营活动的管理。</w:t>
      </w:r>
    </w:p>
    <w:p w14:paraId="72FFD2D0">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第七条</w:t>
      </w:r>
      <w:r>
        <w:rPr>
          <w:rFonts w:ascii="Times New Roman" w:hAnsi="Times New Roman" w:eastAsia="仿宋_GB2312" w:cs="Times New Roman"/>
          <w:sz w:val="32"/>
          <w:szCs w:val="32"/>
        </w:rPr>
        <w:t>　国家鼓励烟花爆竹生产企业采用提高安全程度和提升行业整体水平的新工艺、新配方和新技术。</w:t>
      </w:r>
    </w:p>
    <w:p w14:paraId="50967252">
      <w:pPr>
        <w:pStyle w:val="3"/>
        <w:bidi w:val="0"/>
      </w:pPr>
      <w:r>
        <w:t>第二章　生产安全</w:t>
      </w:r>
    </w:p>
    <w:p w14:paraId="19E37586">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第八条</w:t>
      </w:r>
      <w:r>
        <w:rPr>
          <w:rFonts w:ascii="Times New Roman" w:hAnsi="Times New Roman" w:eastAsia="仿宋_GB2312" w:cs="Times New Roman"/>
          <w:sz w:val="32"/>
          <w:szCs w:val="32"/>
        </w:rPr>
        <w:t>　生产烟花爆竹的企业，应当具备下列条件：</w:t>
      </w:r>
    </w:p>
    <w:p w14:paraId="72C6409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(一)符合当地产业结构规划；</w:t>
      </w:r>
    </w:p>
    <w:p w14:paraId="1C287459">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(二)基本建设项目经过批准；</w:t>
      </w:r>
    </w:p>
    <w:p w14:paraId="1884212F">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(三)选址符合城乡规划，并与周边建筑、设施保持必要的安全距离；</w:t>
      </w:r>
    </w:p>
    <w:p w14:paraId="5280B3F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(四)厂房和仓库的设计、结构和材料以及防火、防爆、防雷、防静电等安全设备、设施符合国家有关标准和规范；</w:t>
      </w:r>
    </w:p>
    <w:p w14:paraId="2B4584B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(五)生产设备、工艺符合安全标准；</w:t>
      </w:r>
    </w:p>
    <w:p w14:paraId="55675297">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(六)产品品种、规格、质量符合国家标准；</w:t>
      </w:r>
    </w:p>
    <w:p w14:paraId="517C5EE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(七)有健全的安全生产责任制；</w:t>
      </w:r>
    </w:p>
    <w:p w14:paraId="318EB432">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(八)有安全生产管理机构和专职安全生产管理人员；</w:t>
      </w:r>
    </w:p>
    <w:p w14:paraId="0578E08A">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(九)依法进行了安全评价；</w:t>
      </w:r>
    </w:p>
    <w:p w14:paraId="7CE81D5E">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(十)有事故应急救援预案、应急救援组织和人员，并配备必要的应急救援器材、设备；</w:t>
      </w:r>
    </w:p>
    <w:p w14:paraId="2F04303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(十一)法律、法规规定的其他条件。</w:t>
      </w:r>
    </w:p>
    <w:p w14:paraId="2CB16D23">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第九条</w:t>
      </w:r>
      <w:r>
        <w:rPr>
          <w:rFonts w:ascii="Times New Roman" w:hAnsi="Times New Roman" w:eastAsia="仿宋_GB2312" w:cs="Times New Roman"/>
          <w:sz w:val="32"/>
          <w:szCs w:val="32"/>
        </w:rPr>
        <w:t>　生产烟花爆竹的企业，应当在投入生产前向所在地设区的市人民政府安全生产监督管理部门提出安全审查申请，并提交能够证明符合本条例第八条规定条件的有关材料。设区的市人民政府安全生产监督管理部门应当自收到材料之日起20日内提出安全审查初步意见，报省、自治区、直辖市人民政府安全生产监督管理部门审查。省、自治区、直辖市人民政府安全生产监督管理部门应当自受理申请之日起45日内进行安全审查，对符合条件的，核发《烟花爆竹安全生产许可证》；对不符合条件的，应当说明理由。</w:t>
      </w:r>
    </w:p>
    <w:p w14:paraId="16517A28">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第十条</w:t>
      </w:r>
      <w:r>
        <w:rPr>
          <w:rFonts w:ascii="Times New Roman" w:hAnsi="Times New Roman" w:eastAsia="仿宋_GB2312" w:cs="Times New Roman"/>
          <w:sz w:val="32"/>
          <w:szCs w:val="32"/>
        </w:rPr>
        <w:t>　生产烟花爆竹的企业为扩大生产能力进行基本建设或者技术改造的，应当依照本条例的规定申请办理安全生产许可证。</w:t>
      </w:r>
    </w:p>
    <w:p w14:paraId="0BDB0F6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生产烟花爆竹的企业，持《烟花爆竹安全生产许可证》到工商行政管理部门办理登记手续后，方可从事烟花爆竹生产活动。</w:t>
      </w:r>
    </w:p>
    <w:p w14:paraId="3912E358">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第十一条</w:t>
      </w:r>
      <w:r>
        <w:rPr>
          <w:rFonts w:ascii="Times New Roman" w:hAnsi="Times New Roman" w:eastAsia="仿宋_GB2312" w:cs="Times New Roman"/>
          <w:sz w:val="32"/>
          <w:szCs w:val="32"/>
        </w:rPr>
        <w:t>　生产烟花爆竹的企业，应当按照安全生产许可证核定的产品种类进行生产，生产工序和生产作业应当执行有关国家标准和行业标准。</w:t>
      </w:r>
    </w:p>
    <w:p w14:paraId="53A2EC61">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第十二条</w:t>
      </w:r>
      <w:r>
        <w:rPr>
          <w:rFonts w:ascii="Times New Roman" w:hAnsi="Times New Roman" w:eastAsia="仿宋_GB2312" w:cs="Times New Roman"/>
          <w:sz w:val="32"/>
          <w:szCs w:val="32"/>
        </w:rPr>
        <w:t>　生产烟花爆竹的企业，应当对生产作业人员进行安全生产知识教育，对从事药物混合、造粒、筛选、装药、筑药、压药、切引、搬运等危险工序的作业人员进行专业技术培训。从事危险工序的作业人员经设区的市人民政府安全生产监督管理部门考核合格，方可上岗作业。</w:t>
      </w:r>
    </w:p>
    <w:p w14:paraId="00D9DAA1">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第十三条</w:t>
      </w:r>
      <w:r>
        <w:rPr>
          <w:rFonts w:ascii="Times New Roman" w:hAnsi="Times New Roman" w:eastAsia="仿宋_GB2312" w:cs="Times New Roman"/>
          <w:sz w:val="32"/>
          <w:szCs w:val="32"/>
        </w:rPr>
        <w:t>　生产烟花爆竹使用的原料，应当符合国家标准的规定。生产烟花爆竹使用的原料，国家标准有用量限制的，不得超过规定的用量。不得使用国家标准规定禁止使用或者禁忌配伍的物质生产烟花爆竹。</w:t>
      </w:r>
    </w:p>
    <w:p w14:paraId="19B2B714">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第十四条</w:t>
      </w:r>
      <w:r>
        <w:rPr>
          <w:rFonts w:ascii="Times New Roman" w:hAnsi="Times New Roman" w:eastAsia="仿宋_GB2312" w:cs="Times New Roman"/>
          <w:sz w:val="32"/>
          <w:szCs w:val="32"/>
        </w:rPr>
        <w:t>　生产烟花爆竹的企业，应当按照国家标准的规定，在烟花爆竹产品上标注燃放说明，并在烟花爆竹包装物上印制易燃易爆危险物品警示标志。</w:t>
      </w:r>
    </w:p>
    <w:p w14:paraId="260A22F9">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第十五条</w:t>
      </w:r>
      <w:r>
        <w:rPr>
          <w:rFonts w:ascii="Times New Roman" w:hAnsi="Times New Roman" w:eastAsia="仿宋_GB2312" w:cs="Times New Roman"/>
          <w:sz w:val="32"/>
          <w:szCs w:val="32"/>
        </w:rPr>
        <w:t>　生产烟花爆竹的企业，应当对黑火药、烟火药、引火线的保管采取必要的安全技术措施，建立购买、领用、销售登记制度，防止黑火药、烟火药、引火线丢失。黑火药、烟火药、引火线丢失的，企业应当立即向当地安全生产监督管理部门和公安部门报告。</w:t>
      </w:r>
    </w:p>
    <w:p w14:paraId="2B0E7E7B">
      <w:pPr>
        <w:pStyle w:val="3"/>
        <w:bidi w:val="0"/>
      </w:pPr>
      <w:r>
        <w:t>第三章　经营安全</w:t>
      </w:r>
    </w:p>
    <w:p w14:paraId="378B544E">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第十六条</w:t>
      </w:r>
      <w:r>
        <w:rPr>
          <w:rFonts w:ascii="Times New Roman" w:hAnsi="Times New Roman" w:eastAsia="仿宋_GB2312" w:cs="Times New Roman"/>
          <w:sz w:val="32"/>
          <w:szCs w:val="32"/>
        </w:rPr>
        <w:t>　烟花爆竹的经营分为批发和零售。</w:t>
      </w:r>
    </w:p>
    <w:p w14:paraId="3B554BD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从事烟花爆竹批发的企业和零售经营者的经营布点，应当经安全生产监督管理部门审批。</w:t>
      </w:r>
    </w:p>
    <w:p w14:paraId="7F806A9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禁止在城市市区布设烟花爆竹批发场所；城市市区的烟花爆竹零售网点，应当按照严格控制的原则合理布设。</w:t>
      </w:r>
    </w:p>
    <w:p w14:paraId="62AB9B80">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第十七条</w:t>
      </w:r>
      <w:r>
        <w:rPr>
          <w:rFonts w:ascii="Times New Roman" w:hAnsi="Times New Roman" w:eastAsia="仿宋_GB2312" w:cs="Times New Roman"/>
          <w:sz w:val="32"/>
          <w:szCs w:val="32"/>
        </w:rPr>
        <w:t>　从事烟花爆竹批发的企业，应当具备下列条件：</w:t>
      </w:r>
    </w:p>
    <w:p w14:paraId="1A37325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(一)具有企业法人条件；</w:t>
      </w:r>
    </w:p>
    <w:p w14:paraId="5D21DE20">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(二)经营场所与周边建筑、设施保持必要的安全距离；</w:t>
      </w:r>
    </w:p>
    <w:p w14:paraId="4C366BA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(三)有符合国家标准的经营场所和储存仓库；</w:t>
      </w:r>
    </w:p>
    <w:p w14:paraId="4D3FB26A">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(四)有保管员、仓库守护员；</w:t>
      </w:r>
    </w:p>
    <w:p w14:paraId="6AD8EC2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(五)依法进行了安全评价；</w:t>
      </w:r>
    </w:p>
    <w:p w14:paraId="42F4DAC4">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(六)有事故应急救援预案、应急救援组织和人员，并配备必要的应急救援器材、设备；</w:t>
      </w:r>
    </w:p>
    <w:p w14:paraId="1CF719D0">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(七)法律、法规规定的其他条件。</w:t>
      </w:r>
    </w:p>
    <w:p w14:paraId="141AA33A">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第十八条</w:t>
      </w:r>
      <w:r>
        <w:rPr>
          <w:rFonts w:ascii="Times New Roman" w:hAnsi="Times New Roman" w:eastAsia="仿宋_GB2312" w:cs="Times New Roman"/>
          <w:sz w:val="32"/>
          <w:szCs w:val="32"/>
        </w:rPr>
        <w:t>　烟花爆竹零售经营者，应当具备下列条件：</w:t>
      </w:r>
    </w:p>
    <w:p w14:paraId="2975119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(一)主要负责人经过安全知识教育；</w:t>
      </w:r>
    </w:p>
    <w:p w14:paraId="36F0D4B9">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(二)实行专店或者专柜销售，设专人负责安全管理；</w:t>
      </w:r>
    </w:p>
    <w:p w14:paraId="047A824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(三)经营场所配备必要的消防器材，张贴明显的安全警示标志；</w:t>
      </w:r>
    </w:p>
    <w:p w14:paraId="3A673C4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(四)法律、法规规定的其他条件。</w:t>
      </w:r>
    </w:p>
    <w:p w14:paraId="5643FDAA">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第十九条</w:t>
      </w:r>
      <w:r>
        <w:rPr>
          <w:rFonts w:ascii="Times New Roman" w:hAnsi="Times New Roman" w:eastAsia="仿宋_GB2312" w:cs="Times New Roman"/>
          <w:sz w:val="32"/>
          <w:szCs w:val="32"/>
        </w:rPr>
        <w:t>　申请从事烟花爆竹批发的企业，应当向所在地设区的市人民政府安全生产监督管理部门提出申请，并提供能够证明符合本条例第十七条规定条件的有关材料。受理申请的安全生产监督管理部门应当自受理申请之日起30日内对提交的有关材料和经营场所进行审查，对符合条件的，核发《烟花爆竹经营(批发)许可证》；对不符合条件的，应当说明理由。</w:t>
      </w:r>
    </w:p>
    <w:p w14:paraId="04AC224F">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申请从事烟花爆竹零售的经营者，应当向所在地县级人民政府安全生产监督管理部门提出申请，并提供能够证明符合本条例第十八条规定条件的有关材料。受理申请的安全生产监督管理部门应当自受理申请之日起20日内对提交的有关材料和经营场所进行审查，对符合条件的，核发《烟花爆竹经营(零售)许可证》；对不符合条件的，应当说明理由。</w:t>
      </w:r>
    </w:p>
    <w:p w14:paraId="6F58125F">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《烟花爆竹经营(零售)许可证》，应当载明经营负责人、经营场所地址、经营期限、烟花爆竹种类和限制存放量。</w:t>
      </w:r>
    </w:p>
    <w:p w14:paraId="3883A6FD">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第二十条</w:t>
      </w:r>
      <w:r>
        <w:rPr>
          <w:rFonts w:ascii="Times New Roman" w:hAnsi="Times New Roman" w:eastAsia="仿宋_GB2312" w:cs="Times New Roman"/>
          <w:sz w:val="32"/>
          <w:szCs w:val="32"/>
        </w:rPr>
        <w:t>　从事烟花爆竹批发的企业，应当向生产烟花爆竹的企业采购烟花爆竹，向从事烟花爆竹零售的经营者供应烟花爆竹。从事烟花爆竹零售的经营者，应当向从事烟花爆竹批发的企业采购烟花爆竹。</w:t>
      </w:r>
    </w:p>
    <w:p w14:paraId="65F87AB2">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从事烟花爆竹批发的企业、零售经营者不得采购和销售非法生产、经营的烟花爆竹。</w:t>
      </w:r>
    </w:p>
    <w:p w14:paraId="26DE5884">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从事烟花爆竹批发的企业，不得向从事烟花爆竹零售的经营者供应按照国家标准规定应由专业燃放人员燃放的烟花爆竹。从事烟花爆竹零售的经营者，不得销售按照国家标准规定应由专业燃放人员燃放的烟花爆竹。</w:t>
      </w:r>
    </w:p>
    <w:p w14:paraId="21E288EB">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第二十一条</w:t>
      </w:r>
      <w:r>
        <w:rPr>
          <w:rFonts w:ascii="Times New Roman" w:hAnsi="Times New Roman" w:eastAsia="仿宋_GB2312" w:cs="Times New Roman"/>
          <w:sz w:val="32"/>
          <w:szCs w:val="32"/>
        </w:rPr>
        <w:t>　生产、经营黑火药、烟火药、引火线的企业，不得向未取得烟花爆竹安全生产许可的任何单位或者个人销售黑火药、烟火药和引火线。</w:t>
      </w:r>
    </w:p>
    <w:p w14:paraId="163D759A">
      <w:pPr>
        <w:pStyle w:val="3"/>
        <w:bidi w:val="0"/>
      </w:pPr>
      <w:r>
        <w:t>第四章　运输安全</w:t>
      </w:r>
    </w:p>
    <w:p w14:paraId="23721403">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第二十二条</w:t>
      </w:r>
      <w:r>
        <w:rPr>
          <w:rFonts w:ascii="Times New Roman" w:hAnsi="Times New Roman" w:eastAsia="仿宋_GB2312" w:cs="Times New Roman"/>
          <w:sz w:val="32"/>
          <w:szCs w:val="32"/>
        </w:rPr>
        <w:t>　经由道路运输烟花爆竹的，应当经公安部门许可。</w:t>
      </w:r>
    </w:p>
    <w:p w14:paraId="0D6863D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经由铁路、水路、航空运输烟花爆竹的，依照铁路、水路、航空运输安全管理的有关法律、法规、规章的规定执行。</w:t>
      </w:r>
    </w:p>
    <w:p w14:paraId="6C73E2D7">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第二十三条</w:t>
      </w:r>
      <w:r>
        <w:rPr>
          <w:rFonts w:ascii="Times New Roman" w:hAnsi="Times New Roman" w:eastAsia="仿宋_GB2312" w:cs="Times New Roman"/>
          <w:sz w:val="32"/>
          <w:szCs w:val="32"/>
        </w:rPr>
        <w:t>　经由道路运输烟花爆竹的，托运人应当向运达地县级人民政府公安部门提出申请，并提交下列有关材料：</w:t>
      </w:r>
    </w:p>
    <w:p w14:paraId="4219C6A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(一)承运人从事危险货物运输的资质证明；</w:t>
      </w:r>
    </w:p>
    <w:p w14:paraId="2BB19938">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(二)驾驶员、押运员从事危险货物运输的资格证明；</w:t>
      </w:r>
    </w:p>
    <w:p w14:paraId="4B85C7D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(三)危险货物运输车辆的道路运输证明；</w:t>
      </w:r>
    </w:p>
    <w:p w14:paraId="2AB9DC92">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(四)托运人从事烟花爆竹生产、经营的资质证明；</w:t>
      </w:r>
    </w:p>
    <w:p w14:paraId="39BBAE90">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w:t>
      </w:r>
      <w:r>
        <w:rPr>
          <w:rFonts w:ascii="Times New Roman" w:hAnsi="Times New Roman" w:eastAsia="仿宋_GB2312" w:cs="Times New Roman"/>
          <w:spacing w:val="-11"/>
          <w:sz w:val="32"/>
          <w:szCs w:val="32"/>
        </w:rPr>
        <w:t>烟花爆竹的购销合同及运输烟花爆竹的种类、规格、数</w:t>
      </w:r>
      <w:r>
        <w:rPr>
          <w:rFonts w:ascii="Times New Roman" w:hAnsi="Times New Roman" w:eastAsia="仿宋_GB2312" w:cs="Times New Roman"/>
          <w:sz w:val="32"/>
          <w:szCs w:val="32"/>
        </w:rPr>
        <w:t>量；</w:t>
      </w:r>
    </w:p>
    <w:p w14:paraId="7859877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(六)烟花爆竹的产品质量和包装合格证明；</w:t>
      </w:r>
    </w:p>
    <w:p w14:paraId="48A2C5A0">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(七)运输车辆牌号、运输时间、起始地点、行驶路线、经停地点。</w:t>
      </w:r>
    </w:p>
    <w:p w14:paraId="1DFA401D">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第二十四条</w:t>
      </w:r>
      <w:r>
        <w:rPr>
          <w:rFonts w:ascii="Times New Roman" w:hAnsi="Times New Roman" w:eastAsia="仿宋_GB2312" w:cs="Times New Roman"/>
          <w:sz w:val="32"/>
          <w:szCs w:val="32"/>
        </w:rPr>
        <w:t>　受理申请的公安部门应当自受理申请之日起3日内对提交的有关材料进行审查，对符合条件的，核发《烟花爆竹道路运输许可证》；对不符合条件的，应当说明理由。</w:t>
      </w:r>
    </w:p>
    <w:p w14:paraId="50C1CFF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《烟花爆竹道路运输许可证》应当载明托运人、承运人、一次性运输有效期限、起始地点、行驶路线、经停地点、烟花爆竹的种类、规格和数量。</w:t>
      </w:r>
    </w:p>
    <w:p w14:paraId="2216661B">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第二十五条</w:t>
      </w:r>
      <w:r>
        <w:rPr>
          <w:rFonts w:ascii="Times New Roman" w:hAnsi="Times New Roman" w:eastAsia="仿宋_GB2312" w:cs="Times New Roman"/>
          <w:sz w:val="32"/>
          <w:szCs w:val="32"/>
        </w:rPr>
        <w:t>　经由道路运输烟花爆竹的，除应当遵守《中华人民共和国道路交通安全法》外，还应当遵守下列规定：</w:t>
      </w:r>
    </w:p>
    <w:p w14:paraId="0E9714A4">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(一)随车携带《烟花爆竹道路运输许可证》；</w:t>
      </w:r>
    </w:p>
    <w:p w14:paraId="0177F81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(二)不得违反运输许可事项；</w:t>
      </w:r>
    </w:p>
    <w:p w14:paraId="40C39E44">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(三)运输车辆悬挂或者安装符合国家标准的易燃易爆危险物品警示标志；</w:t>
      </w:r>
    </w:p>
    <w:p w14:paraId="72911D8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(四)烟花爆竹的装载符合国家有关标准和规范；</w:t>
      </w:r>
    </w:p>
    <w:p w14:paraId="17647D32">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(五)装载烟花爆竹的车厢不得载人；</w:t>
      </w:r>
    </w:p>
    <w:p w14:paraId="00AFDE6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(六)运输车辆限速行驶，途中经停必须有专人看守；</w:t>
      </w:r>
    </w:p>
    <w:p w14:paraId="50DD0A2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(七)出现危险情况立即采取必要的措施，并报告当地公安部门。</w:t>
      </w:r>
    </w:p>
    <w:p w14:paraId="68A424E4">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第二十六条</w:t>
      </w:r>
      <w:r>
        <w:rPr>
          <w:rFonts w:ascii="Times New Roman" w:hAnsi="Times New Roman" w:eastAsia="仿宋_GB2312" w:cs="Times New Roman"/>
          <w:sz w:val="32"/>
          <w:szCs w:val="32"/>
        </w:rPr>
        <w:t>　烟花爆竹运达目的地后，收货人应当在3日内将《烟花爆竹道路运输许可证》交回发证机关核销。</w:t>
      </w:r>
    </w:p>
    <w:p w14:paraId="4E287BCA">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第二十七条</w:t>
      </w:r>
      <w:r>
        <w:rPr>
          <w:rFonts w:ascii="Times New Roman" w:hAnsi="Times New Roman" w:eastAsia="仿宋_GB2312" w:cs="Times New Roman"/>
          <w:sz w:val="32"/>
          <w:szCs w:val="32"/>
        </w:rPr>
        <w:t>　禁止携带烟花爆竹搭乘公共交通工具。</w:t>
      </w:r>
    </w:p>
    <w:p w14:paraId="7C91BDA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禁止邮寄烟花爆竹，禁止在托运的行李、包裹、邮件中夹带烟花爆竹。</w:t>
      </w:r>
    </w:p>
    <w:p w14:paraId="67931CF6">
      <w:pPr>
        <w:pStyle w:val="3"/>
        <w:bidi w:val="0"/>
      </w:pPr>
      <w:r>
        <w:t>第五章　燃放安全</w:t>
      </w:r>
    </w:p>
    <w:p w14:paraId="45E90B94">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第二十八条</w:t>
      </w:r>
      <w:r>
        <w:rPr>
          <w:rFonts w:ascii="Times New Roman" w:hAnsi="Times New Roman" w:eastAsia="仿宋_GB2312" w:cs="Times New Roman"/>
          <w:sz w:val="32"/>
          <w:szCs w:val="32"/>
        </w:rPr>
        <w:t>　燃放烟花爆竹，应当遵守有关法律、法规和规章的规定。县级以上地方人民政府可以根据本行政区域的实际情况，确定限制或者禁止燃放烟花爆竹的时间、地点和种类。</w:t>
      </w:r>
    </w:p>
    <w:p w14:paraId="1C675142">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第二十九条</w:t>
      </w:r>
      <w:r>
        <w:rPr>
          <w:rFonts w:ascii="Times New Roman" w:hAnsi="Times New Roman" w:eastAsia="仿宋_GB2312" w:cs="Times New Roman"/>
          <w:sz w:val="32"/>
          <w:szCs w:val="32"/>
        </w:rPr>
        <w:t>　各级人民政府和政府有关部门应当开展社会宣传活动，教育公民遵守有关法律、法规和规章，安全燃放烟花爆竹。</w:t>
      </w:r>
    </w:p>
    <w:p w14:paraId="4514296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广播、电视、报刊等新闻媒体，应当做好安全燃放烟花爆竹的宣传、教育工作。</w:t>
      </w:r>
    </w:p>
    <w:p w14:paraId="5B2E778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未成年人的监护人应当对未成年人进行安全燃放烟花爆竹的教育。</w:t>
      </w:r>
    </w:p>
    <w:p w14:paraId="4A8732A7">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第三十条</w:t>
      </w:r>
      <w:r>
        <w:rPr>
          <w:rFonts w:ascii="Times New Roman" w:hAnsi="Times New Roman" w:eastAsia="仿宋_GB2312" w:cs="Times New Roman"/>
          <w:sz w:val="32"/>
          <w:szCs w:val="32"/>
        </w:rPr>
        <w:t>　禁止在下列地点燃放烟花爆竹：</w:t>
      </w:r>
    </w:p>
    <w:p w14:paraId="46F2F1D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(一)文物保护单位；</w:t>
      </w:r>
    </w:p>
    <w:p w14:paraId="67AF0A97">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(二)车站、码头、飞机场等交通枢纽以及铁路线路安全保护区内；</w:t>
      </w:r>
    </w:p>
    <w:p w14:paraId="5EA1C7B9">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(三)易燃易爆物品生产、储存单位；</w:t>
      </w:r>
    </w:p>
    <w:p w14:paraId="78EBBC18">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(四)输变电设施安全保护区内；</w:t>
      </w:r>
    </w:p>
    <w:p w14:paraId="01BA157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(五)医疗机构、幼儿园、中小学校、敬老院；</w:t>
      </w:r>
    </w:p>
    <w:p w14:paraId="5CEA67E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(六)山林、草原等重点防火区；</w:t>
      </w:r>
    </w:p>
    <w:p w14:paraId="46C0784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(七)县级以上地方人民政府规定的禁止燃放烟花爆竹的其他地点。</w:t>
      </w:r>
    </w:p>
    <w:p w14:paraId="7F080608">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第三十一条</w:t>
      </w:r>
      <w:r>
        <w:rPr>
          <w:rFonts w:ascii="Times New Roman" w:hAnsi="Times New Roman" w:eastAsia="仿宋_GB2312" w:cs="Times New Roman"/>
          <w:sz w:val="32"/>
          <w:szCs w:val="32"/>
        </w:rPr>
        <w:t>　燃放烟花爆竹，应当按照燃放说明燃放，不得以危害公共安全和人身、财产安全的方式燃放烟花爆竹。</w:t>
      </w:r>
    </w:p>
    <w:p w14:paraId="2FC6A7B1">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第三十二条</w:t>
      </w:r>
      <w:r>
        <w:rPr>
          <w:rFonts w:ascii="Times New Roman" w:hAnsi="Times New Roman" w:eastAsia="仿宋_GB2312" w:cs="Times New Roman"/>
          <w:sz w:val="32"/>
          <w:szCs w:val="32"/>
        </w:rPr>
        <w:t>　举办焰火晚会以及其他大型焰火燃放活动，应当按照举办的时间、地点、环境、活动性质、规模以及燃放烟花爆竹的种类、规格和数量，确定危险等级，实行分级管理。分级管理的具体办法，由国务院公安部门规定。</w:t>
      </w:r>
    </w:p>
    <w:p w14:paraId="270B1119">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第三十三条</w:t>
      </w:r>
      <w:r>
        <w:rPr>
          <w:rFonts w:ascii="Times New Roman" w:hAnsi="Times New Roman" w:eastAsia="仿宋_GB2312" w:cs="Times New Roman"/>
          <w:sz w:val="32"/>
          <w:szCs w:val="32"/>
        </w:rPr>
        <w:t>　申请举办焰火晚会以及其他大型焰火燃放活动，主办单位应当按照分级管理的规定，向有关人民政府公安部门提出申请，并提交下列有关材料：</w:t>
      </w:r>
    </w:p>
    <w:p w14:paraId="5736977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(一)举办焰火晚会以及其他大型焰火燃放活动的时间、地点、环境、活动性质、规模；</w:t>
      </w:r>
    </w:p>
    <w:p w14:paraId="75CCDA2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(二)燃放烟花爆竹的种类、规格、数量；</w:t>
      </w:r>
    </w:p>
    <w:p w14:paraId="04C1519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(三)燃放作业方案；</w:t>
      </w:r>
    </w:p>
    <w:p w14:paraId="7A33436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(四)燃放作业单位、作业人员符合行业标准规定条件的证明。</w:t>
      </w:r>
    </w:p>
    <w:p w14:paraId="446F2BD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受理申请的公安部门应当自受理申请之日起20日内对提交的有关材料进行审查，对符合条件的，核发《焰火燃放许可证》；对不符合条件的，应当说明理由。</w:t>
      </w:r>
    </w:p>
    <w:p w14:paraId="361F2FA9">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第三十四条</w:t>
      </w:r>
      <w:r>
        <w:rPr>
          <w:rFonts w:ascii="Times New Roman" w:hAnsi="Times New Roman" w:eastAsia="仿宋_GB2312" w:cs="Times New Roman"/>
          <w:sz w:val="32"/>
          <w:szCs w:val="32"/>
        </w:rPr>
        <w:t>　焰火晚会以及其他大型焰火燃放活动燃放作业单位和作业人员，应当按照焰火燃放安全规程和经许可的燃放作业方案进行燃放作业。</w:t>
      </w:r>
    </w:p>
    <w:p w14:paraId="1BED3A26">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第三十五条</w:t>
      </w:r>
      <w:r>
        <w:rPr>
          <w:rFonts w:ascii="Times New Roman" w:hAnsi="Times New Roman" w:eastAsia="仿宋_GB2312" w:cs="Times New Roman"/>
          <w:sz w:val="32"/>
          <w:szCs w:val="32"/>
        </w:rPr>
        <w:t>　公安部门应当加强对危险等级较高的焰火晚会以及其他大型焰火燃放活动的监督检查。</w:t>
      </w:r>
    </w:p>
    <w:p w14:paraId="5DF093B8">
      <w:pPr>
        <w:pStyle w:val="3"/>
        <w:bidi w:val="0"/>
      </w:pPr>
      <w:r>
        <w:t>第六章　法律责任</w:t>
      </w:r>
    </w:p>
    <w:p w14:paraId="697EE46E">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第三十六条</w:t>
      </w:r>
      <w:r>
        <w:rPr>
          <w:rFonts w:ascii="Times New Roman" w:hAnsi="Times New Roman" w:eastAsia="仿宋_GB2312" w:cs="Times New Roman"/>
          <w:sz w:val="32"/>
          <w:szCs w:val="32"/>
        </w:rPr>
        <w:t>　对未经许可生产、经营烟花爆竹制品，或者向未取得烟花爆竹安全生产许可的单位或者个人销售黑火药、烟火药、引火线的，由安全生产监督管理部门责令停止非法生产、经营活动，处2万元以上10万元以下的罚款，并没收非法生产、经营的物品及违法所得。</w:t>
      </w:r>
    </w:p>
    <w:p w14:paraId="48F136DF">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对未经许可经由道路运输烟花爆竹的，由公安部门责令停止非法运输活动，处1万元以上5万元以下的罚款，并没收非法运输的物品及违法所得。</w:t>
      </w:r>
    </w:p>
    <w:p w14:paraId="1DC3D45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非法生产、经营、运输烟花爆竹，构成违反治安管理行为的，依法给予治安管理处罚；构成犯罪的，依法追究刑事责任。</w:t>
      </w:r>
    </w:p>
    <w:p w14:paraId="561283F9">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第三十七条</w:t>
      </w:r>
      <w:r>
        <w:rPr>
          <w:rFonts w:ascii="Times New Roman" w:hAnsi="Times New Roman" w:eastAsia="仿宋_GB2312" w:cs="Times New Roman"/>
          <w:sz w:val="32"/>
          <w:szCs w:val="32"/>
        </w:rPr>
        <w:t>　生产烟花爆竹的企业有下列行为之一的，由安全生产监督管理部门责令限期改正，处1万元以上5万元以下的罚款；逾期不改正的，责令停产停业整顿，情节严重的，吊销安全生产许可证：</w:t>
      </w:r>
    </w:p>
    <w:p w14:paraId="7D69551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(一)未按照安全生产许可证核定的产品种类进行生产的；</w:t>
      </w:r>
    </w:p>
    <w:p w14:paraId="7A7521A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(二)生产工序或者生产作业不符合有关国家标准、行业标准的；</w:t>
      </w:r>
    </w:p>
    <w:p w14:paraId="39F8C11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(三)雇佣未经设区的市人民政府安全生产监督管理部门考核合格的人员从事危险工序作业的；</w:t>
      </w:r>
    </w:p>
    <w:p w14:paraId="22E34B1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(四)生产烟花爆竹使用的原料不符合国家标准规定的，或者使用的原料超过国家标准规定的用量限制的；</w:t>
      </w:r>
    </w:p>
    <w:p w14:paraId="4780620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(五)使用按照国家标准规定禁止使用或者禁忌配伍的物质生产烟花爆竹的；</w:t>
      </w:r>
    </w:p>
    <w:p w14:paraId="38B18699">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(六)未按照国家标准的规定在烟花爆竹产品上标注燃放说明，或者未在烟花爆竹的包装物上印制易燃易爆危险物品警示标志的。</w:t>
      </w:r>
    </w:p>
    <w:p w14:paraId="2051E092">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第三十八条</w:t>
      </w:r>
      <w:r>
        <w:rPr>
          <w:rFonts w:ascii="Times New Roman" w:hAnsi="Times New Roman" w:eastAsia="仿宋_GB2312" w:cs="Times New Roman"/>
          <w:sz w:val="32"/>
          <w:szCs w:val="32"/>
        </w:rPr>
        <w:t>　从事烟花爆竹批发的企业向从事烟花爆竹零售的经营者供应非法生产、经营的烟花爆竹，或者供应按照国家标准规定应由专业燃放人员燃放的烟花爆竹的，由安全生产监督管理部门责令停止违法行为，处2万元以上10万元以下的罚款，并没收非法经营的物品及违法所得；情节严重的，吊销烟花爆竹经营许可证。</w:t>
      </w:r>
    </w:p>
    <w:p w14:paraId="0EFD2D00">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从事烟花爆竹零售的经营者销售非法生产、经营的烟花爆竹，或者销售按照国家标准规定应由专业燃放人员燃放的烟花爆竹的，由安全生产监督管理部门责令停止违法行为，处1000元以上5000元以下的罚款，并没收非法经营的物品及违法所得；情节严重的，吊销烟花爆竹经营许可证。</w:t>
      </w:r>
    </w:p>
    <w:p w14:paraId="6F719457">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第三十九条</w:t>
      </w:r>
      <w:r>
        <w:rPr>
          <w:rFonts w:ascii="Times New Roman" w:hAnsi="Times New Roman" w:eastAsia="仿宋_GB2312" w:cs="Times New Roman"/>
          <w:sz w:val="32"/>
          <w:szCs w:val="32"/>
        </w:rPr>
        <w:t>　生产、经营、使用黑火药、烟火药、引火线的企业，丢失黑火药、烟火药、引火线未及时向当地安全生产监督管理部门和公安部门报告的，由公安部门对企业主要负责人处5000元以上2万元以下的罚款，对丢失的物品予以追缴。</w:t>
      </w:r>
    </w:p>
    <w:p w14:paraId="7EF20162">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第四十条</w:t>
      </w:r>
      <w:r>
        <w:rPr>
          <w:rFonts w:ascii="Times New Roman" w:hAnsi="Times New Roman" w:eastAsia="仿宋_GB2312" w:cs="Times New Roman"/>
          <w:sz w:val="32"/>
          <w:szCs w:val="32"/>
        </w:rPr>
        <w:t>　经由道路运输烟花爆竹，有下列行为之一的，由公安部门责令改正，处200元以上2000元以下的罚款：</w:t>
      </w:r>
    </w:p>
    <w:p w14:paraId="76E43A5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(一)违反运输许可事项的；</w:t>
      </w:r>
    </w:p>
    <w:p w14:paraId="540A546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(二)未随车携带《烟花爆竹道路运输许可证》的；</w:t>
      </w:r>
    </w:p>
    <w:p w14:paraId="2E06111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(三)运输车辆没有悬挂或者安装符合国家标准的易燃易爆危险物品警示标志的；</w:t>
      </w:r>
    </w:p>
    <w:p w14:paraId="66FBC739">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(四)烟花爆竹的装载不符合国家有关标准和规范的；</w:t>
      </w:r>
    </w:p>
    <w:p w14:paraId="2CBB1389">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(五)装载烟花爆竹的车厢载人的；</w:t>
      </w:r>
    </w:p>
    <w:p w14:paraId="6720DA7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(六)超过危险物品运输车辆规定时速行驶的；</w:t>
      </w:r>
    </w:p>
    <w:p w14:paraId="3C67DA7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(七)运输车辆途中经停没有专人看守的；</w:t>
      </w:r>
    </w:p>
    <w:p w14:paraId="14A2A3B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(八)运达目的地后，未按规定时间将《烟花爆竹道路运输许可证》交回发证机关核销的。</w:t>
      </w:r>
    </w:p>
    <w:p w14:paraId="6B40D7A0">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第四十一条</w:t>
      </w:r>
      <w:r>
        <w:rPr>
          <w:rFonts w:ascii="Times New Roman" w:hAnsi="Times New Roman" w:eastAsia="仿宋_GB2312" w:cs="Times New Roman"/>
          <w:sz w:val="32"/>
          <w:szCs w:val="32"/>
        </w:rPr>
        <w:t>　对携带烟花爆竹搭乘公共交通工具，或者邮寄烟花爆竹以及在托运的行李、包裹、邮件中夹带烟花爆竹的，由公安部门没收非法携带、邮寄、夹带的烟花爆竹，可以并处200元以上1000元以下的罚款。</w:t>
      </w:r>
    </w:p>
    <w:p w14:paraId="22880C29">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第四十二条</w:t>
      </w:r>
      <w:r>
        <w:rPr>
          <w:rFonts w:ascii="Times New Roman" w:hAnsi="Times New Roman" w:eastAsia="仿宋_GB2312" w:cs="Times New Roman"/>
          <w:sz w:val="32"/>
          <w:szCs w:val="32"/>
        </w:rPr>
        <w:t>　对未经许可举办焰火晚会以及其他大型焰火燃放活动，或者焰火晚会以及其他大型焰火燃放活动燃放作业单位和作业人员违反焰火燃放安全规程、燃放作业方案进行燃放作业的，由公安部门责令停止燃放，对责任单位处1万元以上5万元以下的罚款。</w:t>
      </w:r>
    </w:p>
    <w:p w14:paraId="070EF7E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在禁止燃放烟花爆竹的时间、地点燃放烟花爆竹，或者以危害公共安全和人身、财产安全的方式燃放烟花爆竹的，由公安部门责令停止燃放，处100元以上500元以下的罚款；构成违反治安管理行为的，依法给予治安管理处罚。</w:t>
      </w:r>
    </w:p>
    <w:p w14:paraId="76676B97">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第四十三条</w:t>
      </w:r>
      <w:r>
        <w:rPr>
          <w:rFonts w:ascii="Times New Roman" w:hAnsi="Times New Roman" w:eastAsia="仿宋_GB2312" w:cs="Times New Roman"/>
          <w:sz w:val="32"/>
          <w:szCs w:val="32"/>
        </w:rPr>
        <w:t>　对没收的非法烟花爆竹以及生产、经营企业弃置的废旧烟花爆竹，应当就地封存，并由公安部门组织销毁、处置。</w:t>
      </w:r>
    </w:p>
    <w:p w14:paraId="25EF09AC">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第四十四条</w:t>
      </w:r>
      <w:r>
        <w:rPr>
          <w:rFonts w:ascii="Times New Roman" w:hAnsi="Times New Roman" w:eastAsia="仿宋_GB2312" w:cs="Times New Roman"/>
          <w:sz w:val="32"/>
          <w:szCs w:val="32"/>
        </w:rPr>
        <w:t>　安全生产监督管理部门、公安部门、质量监督检验部门、工商行政管理部门的工作人员，在烟花爆竹安全监管工作中滥用职权、玩忽职守、徇私舞弊，构成犯罪的，依法追究刑事责任；尚不构成犯罪的，依法给予行政处分。</w:t>
      </w:r>
    </w:p>
    <w:p w14:paraId="7B149CB4">
      <w:pPr>
        <w:pStyle w:val="3"/>
        <w:bidi w:val="0"/>
      </w:pPr>
      <w:r>
        <w:t>第七章　附则</w:t>
      </w:r>
    </w:p>
    <w:p w14:paraId="2B362B21">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第四十五条</w:t>
      </w:r>
      <w:r>
        <w:rPr>
          <w:rFonts w:ascii="Times New Roman" w:hAnsi="Times New Roman" w:eastAsia="仿宋_GB2312" w:cs="Times New Roman"/>
          <w:sz w:val="32"/>
          <w:szCs w:val="32"/>
        </w:rPr>
        <w:t>　《烟花爆竹安全生产许可证》、《烟花爆竹经营(批发)许可证》、《烟花爆竹经营(零售)许可证》，由国务院安全生产监督管理部门规定式样；《烟花爆竹道路运输许可证》、《焰火燃放许可证》，由国务院公安部门规定式样。</w:t>
      </w:r>
    </w:p>
    <w:p w14:paraId="3895D41A">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第四十六条</w:t>
      </w:r>
      <w:r>
        <w:rPr>
          <w:rFonts w:ascii="Times New Roman" w:hAnsi="Times New Roman" w:eastAsia="仿宋_GB2312" w:cs="Times New Roman"/>
          <w:sz w:val="32"/>
          <w:szCs w:val="32"/>
        </w:rPr>
        <w:t>　本条例自公布之日起施行。</w:t>
      </w:r>
    </w:p>
    <w:p w14:paraId="326DA0EF">
      <w:pPr>
        <w:rPr>
          <w:rFonts w:hint="eastAsia"/>
          <w:lang w:eastAsia="zh-CN"/>
        </w:rPr>
      </w:pPr>
    </w:p>
    <w:sectPr>
      <w:footerReference r:id="rId3" w:type="default"/>
      <w:pgSz w:w="11906" w:h="16838"/>
      <w:pgMar w:top="2098" w:right="1474" w:bottom="1984" w:left="1587"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黑体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A1DD7A">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2CD102E8">
                          <w:pPr>
                            <w:pStyle w:val="11"/>
                            <w:rPr>
                              <w:rFonts w:hint="eastAsia" w:eastAsiaTheme="minorEastAsia"/>
                              <w:sz w:val="24"/>
                              <w:lang w:eastAsia="zh-CN"/>
                            </w:rPr>
                          </w:pPr>
                          <w:r>
                            <w:rPr>
                              <w:rFonts w:hint="eastAsia" w:eastAsiaTheme="minorEastAsia"/>
                              <w:sz w:val="24"/>
                              <w:lang w:eastAsia="zh-CN"/>
                            </w:rPr>
                            <w:fldChar w:fldCharType="begin"/>
                          </w:r>
                          <w:r>
                            <w:rPr>
                              <w:rFonts w:hint="eastAsia" w:eastAsiaTheme="minorEastAsia"/>
                              <w:sz w:val="24"/>
                              <w:lang w:eastAsia="zh-CN"/>
                            </w:rPr>
                            <w:instrText xml:space="preserve"> PAGE  \* MERGEFORMAT </w:instrText>
                          </w:r>
                          <w:r>
                            <w:rPr>
                              <w:rFonts w:hint="eastAsia" w:eastAsiaTheme="minorEastAsia"/>
                              <w:sz w:val="24"/>
                              <w:lang w:eastAsia="zh-CN"/>
                            </w:rPr>
                            <w:fldChar w:fldCharType="separate"/>
                          </w:r>
                          <w:r>
                            <w:rPr>
                              <w:rFonts w:hint="eastAsia" w:eastAsiaTheme="minorEastAsia"/>
                              <w:sz w:val="24"/>
                              <w:lang w:eastAsia="zh-CN"/>
                            </w:rPr>
                            <w:t>- 1 -</w:t>
                          </w:r>
                          <w:r>
                            <w:rPr>
                              <w:rFonts w:hint="eastAsia" w:eastAsiaTheme="minorEastAsia"/>
                              <w:sz w:val="24"/>
                              <w:lang w:eastAsia="zh-CN"/>
                            </w:rPr>
                            <w:fldChar w:fldCharType="end"/>
                          </w:r>
                        </w:p>
                      </w:txbxContent>
                    </wps:txbx>
                    <wps:bodyPr vert="horz" wrap="none" lIns="0" tIns="0" rIns="0" bIns="0" anchor="t" upright="0">
                      <a:spAutoFit/>
                    </wps:bodyPr>
                  </wps:wsp>
                </a:graphicData>
              </a:graphic>
            </wp:anchor>
          </w:drawing>
        </mc:Choice>
        <mc:Fallback>
          <w:pict>
            <v:shape id="文本框 7"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lHCvOABAAC5AwAADgAAAGRycy9lMm9Eb2MueG1srVPNjtMwEL4j8Q6W&#10;7zTZSgslaroCVYuQECAtPIDrOI0l/2nGbVIeAN6AExfuPFefY8dO0kXLZQ9ckvH8fDPf5/H6ZrCG&#10;HRWg9q7mV4uSM+Wkb7Tb1/zrl9sXK84wCtcI452q+Ukhv9k8f7buQ6WWvvOmUcAIxGHVh5p3MYaq&#10;KFB2ygpc+KAcBVsPVkQ6wr5oQPSEbk2xLMuXRe+hCeClQiTvdgzyCRGeAujbVku19fJglYsjKigj&#10;IlHCTgfkmzxt2yoZP7UtqshMzYlpzF9qQvYufYvNWlR7EKHTchpBPGWER5ys0I6aXqC2Igp2AP0P&#10;lNUSPPo2LqS3xUgkK0IsrspH2tx1IqjMhaTGcBEd/x+s/Hj8DEw3tAmcOWHpws8/f5x//Tn//s5e&#10;JXn6gBVl3QXKi8NbP6TUyY/kTKyHFmz6Ex9GcRL3dBFXDZHJVLRarlYlhSTF5gPhFA/lATC+U96y&#10;ZNQc6PayqOL4AeOYOqekbs7famPILyrjWF/z19fL61xwiRC4cdQjkRiHTVYcdsPEYOebExGj90AN&#10;Ow/fOOtpG2ruaPk5M+8diZ0WZzZgNnazIZykwppHzg4B9L7LS5amwvDmEGnIPHtqPHab5qEbzeyn&#10;7Usr8/c5Zz28uM09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DpRwrzgAQAAuQMAAA4AAAAA&#10;AAAAAQAgAAAAHgEAAGRycy9lMm9Eb2MueG1sUEsFBgAAAAAGAAYAWQEAAHAFAAAAAA==&#10;">
              <v:fill on="f" focussize="0,0"/>
              <v:stroke on="f"/>
              <v:imagedata o:title=""/>
              <o:lock v:ext="edit" aspectratio="f"/>
              <v:textbox inset="0mm,0mm,0mm,0mm" style="mso-fit-shape-to-text:t;">
                <w:txbxContent>
                  <w:p w14:paraId="2CD102E8">
                    <w:pPr>
                      <w:pStyle w:val="11"/>
                      <w:rPr>
                        <w:rFonts w:hint="eastAsia" w:eastAsiaTheme="minorEastAsia"/>
                        <w:sz w:val="24"/>
                        <w:lang w:eastAsia="zh-CN"/>
                      </w:rPr>
                    </w:pPr>
                    <w:r>
                      <w:rPr>
                        <w:rFonts w:hint="eastAsia" w:eastAsiaTheme="minorEastAsia"/>
                        <w:sz w:val="24"/>
                        <w:lang w:eastAsia="zh-CN"/>
                      </w:rPr>
                      <w:fldChar w:fldCharType="begin"/>
                    </w:r>
                    <w:r>
                      <w:rPr>
                        <w:rFonts w:hint="eastAsia" w:eastAsiaTheme="minorEastAsia"/>
                        <w:sz w:val="24"/>
                        <w:lang w:eastAsia="zh-CN"/>
                      </w:rPr>
                      <w:instrText xml:space="preserve"> PAGE  \* MERGEFORMAT </w:instrText>
                    </w:r>
                    <w:r>
                      <w:rPr>
                        <w:rFonts w:hint="eastAsia" w:eastAsiaTheme="minorEastAsia"/>
                        <w:sz w:val="24"/>
                        <w:lang w:eastAsia="zh-CN"/>
                      </w:rPr>
                      <w:fldChar w:fldCharType="separate"/>
                    </w:r>
                    <w:r>
                      <w:rPr>
                        <w:rFonts w:hint="eastAsia" w:eastAsiaTheme="minorEastAsia"/>
                        <w:sz w:val="24"/>
                        <w:lang w:eastAsia="zh-CN"/>
                      </w:rPr>
                      <w:t>- 1 -</w:t>
                    </w:r>
                    <w:r>
                      <w:rPr>
                        <w:rFonts w:hint="eastAsia" w:eastAsiaTheme="minorEastAsia"/>
                        <w:sz w:val="24"/>
                        <w:lang w:eastAsia="zh-CN"/>
                      </w:rPr>
                      <w:fldChar w:fldCharType="end"/>
                    </w:r>
                  </w:p>
                </w:txbxContent>
              </v:textbox>
            </v:shape>
          </w:pict>
        </mc:Fallback>
      </mc:AlternateContent>
    </w:r>
    <w:sdt>
      <w:sdtPr>
        <w:id w:val="7337133"/>
        <w:docPartObj>
          <w:docPartGallery w:val="autotext"/>
        </w:docPartObj>
      </w:sdtPr>
      <w:sdtContent/>
    </w:sdt>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9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79F8"/>
    <w:rsid w:val="00027AB2"/>
    <w:rsid w:val="000917B9"/>
    <w:rsid w:val="000A5459"/>
    <w:rsid w:val="000C4C92"/>
    <w:rsid w:val="000E1E0F"/>
    <w:rsid w:val="000E61BB"/>
    <w:rsid w:val="001123A3"/>
    <w:rsid w:val="001308F7"/>
    <w:rsid w:val="001D2E61"/>
    <w:rsid w:val="001E555F"/>
    <w:rsid w:val="00290D32"/>
    <w:rsid w:val="002C025D"/>
    <w:rsid w:val="002C3000"/>
    <w:rsid w:val="002E13E2"/>
    <w:rsid w:val="002F6361"/>
    <w:rsid w:val="003004CE"/>
    <w:rsid w:val="003653A6"/>
    <w:rsid w:val="00365B84"/>
    <w:rsid w:val="003767F3"/>
    <w:rsid w:val="0038655D"/>
    <w:rsid w:val="003A2108"/>
    <w:rsid w:val="003A6FAA"/>
    <w:rsid w:val="003D14A2"/>
    <w:rsid w:val="003D3DF5"/>
    <w:rsid w:val="00402DE1"/>
    <w:rsid w:val="0041735A"/>
    <w:rsid w:val="00423A05"/>
    <w:rsid w:val="00423E10"/>
    <w:rsid w:val="004617AB"/>
    <w:rsid w:val="00465FF6"/>
    <w:rsid w:val="00493FD3"/>
    <w:rsid w:val="00496A27"/>
    <w:rsid w:val="00500522"/>
    <w:rsid w:val="00502210"/>
    <w:rsid w:val="005272D1"/>
    <w:rsid w:val="005505F3"/>
    <w:rsid w:val="00574409"/>
    <w:rsid w:val="00574DA9"/>
    <w:rsid w:val="005F72E4"/>
    <w:rsid w:val="0060279C"/>
    <w:rsid w:val="00604330"/>
    <w:rsid w:val="006405E2"/>
    <w:rsid w:val="006848F5"/>
    <w:rsid w:val="00723BD5"/>
    <w:rsid w:val="00730ACC"/>
    <w:rsid w:val="00735841"/>
    <w:rsid w:val="00754610"/>
    <w:rsid w:val="00774219"/>
    <w:rsid w:val="0077596B"/>
    <w:rsid w:val="007953C3"/>
    <w:rsid w:val="007A2BEC"/>
    <w:rsid w:val="007C74E7"/>
    <w:rsid w:val="007E54CD"/>
    <w:rsid w:val="00826E44"/>
    <w:rsid w:val="0083648E"/>
    <w:rsid w:val="008665B0"/>
    <w:rsid w:val="008C4A57"/>
    <w:rsid w:val="008F43D9"/>
    <w:rsid w:val="00917678"/>
    <w:rsid w:val="009567A4"/>
    <w:rsid w:val="00965278"/>
    <w:rsid w:val="00965B34"/>
    <w:rsid w:val="009D67A7"/>
    <w:rsid w:val="00A06F17"/>
    <w:rsid w:val="00A1689C"/>
    <w:rsid w:val="00A37B48"/>
    <w:rsid w:val="00A57CA4"/>
    <w:rsid w:val="00AA747A"/>
    <w:rsid w:val="00AC7BC9"/>
    <w:rsid w:val="00B15D96"/>
    <w:rsid w:val="00B31E84"/>
    <w:rsid w:val="00B9435F"/>
    <w:rsid w:val="00BC2466"/>
    <w:rsid w:val="00BC4671"/>
    <w:rsid w:val="00BD7AE1"/>
    <w:rsid w:val="00BE0B46"/>
    <w:rsid w:val="00C603F7"/>
    <w:rsid w:val="00C679F8"/>
    <w:rsid w:val="00CA02BD"/>
    <w:rsid w:val="00CB4C46"/>
    <w:rsid w:val="00CC5669"/>
    <w:rsid w:val="00CD01A8"/>
    <w:rsid w:val="00D11792"/>
    <w:rsid w:val="00D15169"/>
    <w:rsid w:val="00D56773"/>
    <w:rsid w:val="00D83072"/>
    <w:rsid w:val="00D92776"/>
    <w:rsid w:val="00DF7D69"/>
    <w:rsid w:val="00E149FA"/>
    <w:rsid w:val="00E21E2B"/>
    <w:rsid w:val="00E40DDC"/>
    <w:rsid w:val="00E44CB1"/>
    <w:rsid w:val="00E73B49"/>
    <w:rsid w:val="00EC63E9"/>
    <w:rsid w:val="00ED65AD"/>
    <w:rsid w:val="00F140AC"/>
    <w:rsid w:val="00F2134E"/>
    <w:rsid w:val="00F62793"/>
    <w:rsid w:val="00F90210"/>
    <w:rsid w:val="00FA2E60"/>
    <w:rsid w:val="00FA45FB"/>
    <w:rsid w:val="00FB4416"/>
    <w:rsid w:val="00FB783C"/>
    <w:rsid w:val="00FD082C"/>
    <w:rsid w:val="00FD7678"/>
    <w:rsid w:val="00FD7765"/>
    <w:rsid w:val="0152181F"/>
    <w:rsid w:val="01AB304A"/>
    <w:rsid w:val="01CF6706"/>
    <w:rsid w:val="026D2287"/>
    <w:rsid w:val="02B836F8"/>
    <w:rsid w:val="03356D16"/>
    <w:rsid w:val="03985ADA"/>
    <w:rsid w:val="058213F7"/>
    <w:rsid w:val="0788080A"/>
    <w:rsid w:val="08FF0C17"/>
    <w:rsid w:val="0963250F"/>
    <w:rsid w:val="097F7BAD"/>
    <w:rsid w:val="09B60066"/>
    <w:rsid w:val="0AEB2A0D"/>
    <w:rsid w:val="0B3D0578"/>
    <w:rsid w:val="0D3C4224"/>
    <w:rsid w:val="0D610029"/>
    <w:rsid w:val="0DFE10B9"/>
    <w:rsid w:val="10A47D69"/>
    <w:rsid w:val="134A1994"/>
    <w:rsid w:val="142327B5"/>
    <w:rsid w:val="14484CDF"/>
    <w:rsid w:val="155E2CB3"/>
    <w:rsid w:val="18413C16"/>
    <w:rsid w:val="198A0A54"/>
    <w:rsid w:val="19DB6C33"/>
    <w:rsid w:val="1C9212F7"/>
    <w:rsid w:val="20D86240"/>
    <w:rsid w:val="21CE0F2E"/>
    <w:rsid w:val="22DD4281"/>
    <w:rsid w:val="25F044FF"/>
    <w:rsid w:val="26CA1A3A"/>
    <w:rsid w:val="27680A3B"/>
    <w:rsid w:val="28F8723D"/>
    <w:rsid w:val="2B01664D"/>
    <w:rsid w:val="2D644059"/>
    <w:rsid w:val="2DBE0D65"/>
    <w:rsid w:val="2E1B43B4"/>
    <w:rsid w:val="2ED32E01"/>
    <w:rsid w:val="2FF20DF5"/>
    <w:rsid w:val="318138A8"/>
    <w:rsid w:val="32252208"/>
    <w:rsid w:val="33CF5811"/>
    <w:rsid w:val="344B1A85"/>
    <w:rsid w:val="386D21AD"/>
    <w:rsid w:val="3A7915E5"/>
    <w:rsid w:val="3B1265AF"/>
    <w:rsid w:val="3B573C01"/>
    <w:rsid w:val="3BA0652C"/>
    <w:rsid w:val="3CA23060"/>
    <w:rsid w:val="3CDF39C7"/>
    <w:rsid w:val="3D762392"/>
    <w:rsid w:val="3DFC6899"/>
    <w:rsid w:val="3E3675FB"/>
    <w:rsid w:val="3F800236"/>
    <w:rsid w:val="3F8C783C"/>
    <w:rsid w:val="40DC5AC3"/>
    <w:rsid w:val="40F66CF8"/>
    <w:rsid w:val="40FE47B4"/>
    <w:rsid w:val="41B857FD"/>
    <w:rsid w:val="4361706F"/>
    <w:rsid w:val="43CA1521"/>
    <w:rsid w:val="444B0E8A"/>
    <w:rsid w:val="47A250A3"/>
    <w:rsid w:val="47E311D1"/>
    <w:rsid w:val="4DC87E21"/>
    <w:rsid w:val="4EDF3D2B"/>
    <w:rsid w:val="4EED79F5"/>
    <w:rsid w:val="5080370D"/>
    <w:rsid w:val="523F45D1"/>
    <w:rsid w:val="52695AB4"/>
    <w:rsid w:val="529D4C7B"/>
    <w:rsid w:val="53BF5C69"/>
    <w:rsid w:val="53DA0A43"/>
    <w:rsid w:val="551A4CE0"/>
    <w:rsid w:val="55B865F8"/>
    <w:rsid w:val="575D4E2E"/>
    <w:rsid w:val="58035B31"/>
    <w:rsid w:val="58F6185E"/>
    <w:rsid w:val="591257DC"/>
    <w:rsid w:val="5DB22BFD"/>
    <w:rsid w:val="5DD739B2"/>
    <w:rsid w:val="5E900D37"/>
    <w:rsid w:val="5F5011B7"/>
    <w:rsid w:val="5F88093C"/>
    <w:rsid w:val="60492E1B"/>
    <w:rsid w:val="61152047"/>
    <w:rsid w:val="620467BA"/>
    <w:rsid w:val="622D2BEC"/>
    <w:rsid w:val="62F60DE0"/>
    <w:rsid w:val="63DD0DD3"/>
    <w:rsid w:val="641F5EE8"/>
    <w:rsid w:val="649C0E8F"/>
    <w:rsid w:val="65BF6566"/>
    <w:rsid w:val="665D25F4"/>
    <w:rsid w:val="68715924"/>
    <w:rsid w:val="6A403C00"/>
    <w:rsid w:val="6B4C7D1B"/>
    <w:rsid w:val="6C267EB4"/>
    <w:rsid w:val="6D1363D3"/>
    <w:rsid w:val="6D614426"/>
    <w:rsid w:val="6DA577A5"/>
    <w:rsid w:val="6DB87D30"/>
    <w:rsid w:val="6E804287"/>
    <w:rsid w:val="712B5699"/>
    <w:rsid w:val="746D1278"/>
    <w:rsid w:val="762C29D0"/>
    <w:rsid w:val="769B60FD"/>
    <w:rsid w:val="76C10F77"/>
    <w:rsid w:val="77D8678E"/>
    <w:rsid w:val="7814798C"/>
    <w:rsid w:val="7819740D"/>
    <w:rsid w:val="78ED2B64"/>
    <w:rsid w:val="7A224A32"/>
    <w:rsid w:val="7A4B0114"/>
    <w:rsid w:val="7A6D55E9"/>
    <w:rsid w:val="7C0E15E2"/>
    <w:rsid w:val="7CFB06AD"/>
    <w:rsid w:val="7D0E2676"/>
    <w:rsid w:val="7E8622B0"/>
    <w:rsid w:val="7FB50D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9"/>
    <w:pPr>
      <w:keepNext/>
      <w:keepLines/>
      <w:spacing w:before="340" w:after="330" w:line="578" w:lineRule="auto"/>
      <w:jc w:val="center"/>
      <w:outlineLvl w:val="0"/>
    </w:pPr>
    <w:rPr>
      <w:rFonts w:eastAsia="黑体" w:asciiTheme="minorAscii" w:hAnsiTheme="minorAscii"/>
      <w:bCs/>
      <w:kern w:val="44"/>
      <w:sz w:val="32"/>
      <w:szCs w:val="44"/>
    </w:rPr>
  </w:style>
  <w:style w:type="paragraph" w:styleId="3">
    <w:name w:val="heading 2"/>
    <w:basedOn w:val="1"/>
    <w:next w:val="1"/>
    <w:link w:val="20"/>
    <w:unhideWhenUsed/>
    <w:qFormat/>
    <w:uiPriority w:val="9"/>
    <w:pPr>
      <w:keepNext/>
      <w:keepLines/>
      <w:spacing w:before="320" w:after="320" w:line="576" w:lineRule="auto"/>
      <w:jc w:val="center"/>
      <w:outlineLvl w:val="1"/>
    </w:pPr>
    <w:rPr>
      <w:rFonts w:eastAsia="方正黑体_GBK" w:asciiTheme="majorAscii" w:hAnsiTheme="majorAscii" w:cstheme="majorBidi"/>
      <w:bCs/>
      <w:sz w:val="32"/>
      <w:szCs w:val="32"/>
    </w:rPr>
  </w:style>
  <w:style w:type="paragraph" w:styleId="4">
    <w:name w:val="heading 3"/>
    <w:basedOn w:val="1"/>
    <w:next w:val="1"/>
    <w:link w:val="21"/>
    <w:unhideWhenUsed/>
    <w:qFormat/>
    <w:uiPriority w:val="9"/>
    <w:pPr>
      <w:keepNext/>
      <w:keepLines/>
      <w:spacing w:before="260" w:after="260" w:line="416" w:lineRule="auto"/>
      <w:jc w:val="center"/>
      <w:outlineLvl w:val="2"/>
    </w:pPr>
    <w:rPr>
      <w:rFonts w:eastAsia="方正楷体_GBK" w:asciiTheme="minorAscii" w:hAnsiTheme="minorAscii"/>
      <w:b/>
      <w:bCs/>
      <w:sz w:val="32"/>
      <w:szCs w:val="32"/>
    </w:rPr>
  </w:style>
  <w:style w:type="paragraph" w:styleId="5">
    <w:name w:val="heading 4"/>
    <w:basedOn w:val="1"/>
    <w:next w:val="1"/>
    <w:link w:val="22"/>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23"/>
    <w:semiHidden/>
    <w:unhideWhenUsed/>
    <w:qFormat/>
    <w:uiPriority w:val="9"/>
    <w:pPr>
      <w:keepNext/>
      <w:keepLines/>
      <w:spacing w:before="280" w:after="290" w:line="376" w:lineRule="auto"/>
      <w:outlineLvl w:val="4"/>
    </w:pPr>
    <w:rPr>
      <w:b/>
      <w:bCs/>
      <w:sz w:val="28"/>
      <w:szCs w:val="28"/>
    </w:rPr>
  </w:style>
  <w:style w:type="paragraph" w:styleId="7">
    <w:name w:val="heading 6"/>
    <w:basedOn w:val="1"/>
    <w:next w:val="1"/>
    <w:link w:val="24"/>
    <w:semiHidden/>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paragraph" w:styleId="8">
    <w:name w:val="heading 7"/>
    <w:basedOn w:val="1"/>
    <w:next w:val="1"/>
    <w:link w:val="25"/>
    <w:semiHidden/>
    <w:unhideWhenUsed/>
    <w:qFormat/>
    <w:uiPriority w:val="9"/>
    <w:pPr>
      <w:keepNext/>
      <w:keepLines/>
      <w:spacing w:before="240" w:after="64" w:line="320" w:lineRule="auto"/>
      <w:outlineLvl w:val="6"/>
    </w:pPr>
    <w:rPr>
      <w:b/>
      <w:bCs/>
      <w:sz w:val="24"/>
      <w:szCs w:val="24"/>
    </w:rPr>
  </w:style>
  <w:style w:type="paragraph" w:styleId="9">
    <w:name w:val="heading 8"/>
    <w:basedOn w:val="1"/>
    <w:next w:val="1"/>
    <w:link w:val="26"/>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15">
    <w:name w:val="Default Paragraph Font"/>
    <w:semiHidden/>
    <w:unhideWhenUsed/>
    <w:qFormat/>
    <w:uiPriority w:val="1"/>
  </w:style>
  <w:style w:type="table" w:default="1" w:styleId="14">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kern w:val="2"/>
      <w:sz w:val="21"/>
      <w:szCs w:val="22"/>
    </w:rPr>
    <w:tblPr>
      <w:tblCellMar>
        <w:top w:w="0" w:type="dxa"/>
        <w:left w:w="108" w:type="dxa"/>
        <w:bottom w:w="0" w:type="dxa"/>
        <w:right w:w="108" w:type="dxa"/>
      </w:tblCellMar>
    </w:tblPr>
  </w:style>
  <w:style w:type="paragraph" w:styleId="10">
    <w:name w:val="Plain Text"/>
    <w:basedOn w:val="1"/>
    <w:link w:val="16"/>
    <w:unhideWhenUsed/>
    <w:qFormat/>
    <w:uiPriority w:val="99"/>
    <w:rPr>
      <w:rFonts w:ascii="宋体" w:hAnsi="Courier New" w:eastAsia="宋体" w:cs="Courier New"/>
      <w:szCs w:val="21"/>
    </w:rPr>
  </w:style>
  <w:style w:type="paragraph" w:styleId="11">
    <w:name w:val="footer"/>
    <w:basedOn w:val="1"/>
    <w:link w:val="18"/>
    <w:semiHidden/>
    <w:unhideWhenUsed/>
    <w:qFormat/>
    <w:uiPriority w:val="99"/>
    <w:pPr>
      <w:tabs>
        <w:tab w:val="center" w:pos="4153"/>
        <w:tab w:val="right" w:pos="8306"/>
      </w:tabs>
      <w:snapToGrid w:val="0"/>
      <w:jc w:val="left"/>
    </w:pPr>
    <w:rPr>
      <w:sz w:val="18"/>
      <w:szCs w:val="18"/>
    </w:rPr>
  </w:style>
  <w:style w:type="paragraph" w:styleId="12">
    <w:name w:val="header"/>
    <w:basedOn w:val="1"/>
    <w:link w:val="1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semiHidden/>
    <w:unhideWhenUsed/>
    <w:qFormat/>
    <w:uiPriority w:val="99"/>
    <w:rPr>
      <w:sz w:val="24"/>
    </w:rPr>
  </w:style>
  <w:style w:type="character" w:customStyle="1" w:styleId="16">
    <w:name w:val="纯文本 Char"/>
    <w:basedOn w:val="15"/>
    <w:link w:val="10"/>
    <w:qFormat/>
    <w:uiPriority w:val="99"/>
    <w:rPr>
      <w:rFonts w:ascii="宋体" w:hAnsi="Courier New" w:eastAsia="宋体" w:cs="Courier New"/>
      <w:szCs w:val="21"/>
    </w:rPr>
  </w:style>
  <w:style w:type="character" w:customStyle="1" w:styleId="17">
    <w:name w:val="页眉 Char"/>
    <w:basedOn w:val="15"/>
    <w:link w:val="12"/>
    <w:semiHidden/>
    <w:qFormat/>
    <w:uiPriority w:val="99"/>
    <w:rPr>
      <w:sz w:val="18"/>
      <w:szCs w:val="18"/>
    </w:rPr>
  </w:style>
  <w:style w:type="character" w:customStyle="1" w:styleId="18">
    <w:name w:val="页脚 Char"/>
    <w:basedOn w:val="15"/>
    <w:link w:val="11"/>
    <w:semiHidden/>
    <w:qFormat/>
    <w:uiPriority w:val="99"/>
    <w:rPr>
      <w:sz w:val="18"/>
      <w:szCs w:val="18"/>
    </w:rPr>
  </w:style>
  <w:style w:type="character" w:customStyle="1" w:styleId="19">
    <w:name w:val="标题 1 Char"/>
    <w:basedOn w:val="15"/>
    <w:link w:val="2"/>
    <w:qFormat/>
    <w:uiPriority w:val="9"/>
    <w:rPr>
      <w:rFonts w:eastAsia="黑体" w:asciiTheme="minorAscii" w:hAnsiTheme="minorAscii"/>
      <w:bCs/>
      <w:kern w:val="44"/>
      <w:sz w:val="32"/>
      <w:szCs w:val="44"/>
    </w:rPr>
  </w:style>
  <w:style w:type="character" w:customStyle="1" w:styleId="20">
    <w:name w:val="标题 2 Char"/>
    <w:basedOn w:val="15"/>
    <w:link w:val="3"/>
    <w:semiHidden/>
    <w:qFormat/>
    <w:uiPriority w:val="9"/>
    <w:rPr>
      <w:rFonts w:eastAsia="方正黑体_GBK" w:asciiTheme="majorAscii" w:hAnsiTheme="majorAscii" w:cstheme="majorBidi"/>
      <w:bCs/>
      <w:sz w:val="32"/>
      <w:szCs w:val="32"/>
    </w:rPr>
  </w:style>
  <w:style w:type="character" w:customStyle="1" w:styleId="21">
    <w:name w:val="标题 3 Char"/>
    <w:basedOn w:val="15"/>
    <w:link w:val="4"/>
    <w:semiHidden/>
    <w:qFormat/>
    <w:uiPriority w:val="9"/>
    <w:rPr>
      <w:rFonts w:eastAsia="方正楷体_GBK" w:asciiTheme="minorAscii" w:hAnsiTheme="minorAscii"/>
      <w:b/>
      <w:bCs/>
      <w:sz w:val="32"/>
      <w:szCs w:val="32"/>
    </w:rPr>
  </w:style>
  <w:style w:type="character" w:customStyle="1" w:styleId="22">
    <w:name w:val="标题 4 Char"/>
    <w:basedOn w:val="15"/>
    <w:link w:val="5"/>
    <w:semiHidden/>
    <w:qFormat/>
    <w:uiPriority w:val="9"/>
    <w:rPr>
      <w:rFonts w:asciiTheme="majorHAnsi" w:hAnsiTheme="majorHAnsi" w:eastAsiaTheme="majorEastAsia" w:cstheme="majorBidi"/>
      <w:b/>
      <w:bCs/>
      <w:sz w:val="28"/>
      <w:szCs w:val="28"/>
    </w:rPr>
  </w:style>
  <w:style w:type="character" w:customStyle="1" w:styleId="23">
    <w:name w:val="标题 5 Char"/>
    <w:basedOn w:val="15"/>
    <w:link w:val="6"/>
    <w:semiHidden/>
    <w:qFormat/>
    <w:uiPriority w:val="9"/>
    <w:rPr>
      <w:b/>
      <w:bCs/>
      <w:sz w:val="28"/>
      <w:szCs w:val="28"/>
    </w:rPr>
  </w:style>
  <w:style w:type="character" w:customStyle="1" w:styleId="24">
    <w:name w:val="标题 6 Char"/>
    <w:basedOn w:val="15"/>
    <w:link w:val="7"/>
    <w:semiHidden/>
    <w:qFormat/>
    <w:uiPriority w:val="9"/>
    <w:rPr>
      <w:rFonts w:asciiTheme="majorHAnsi" w:hAnsiTheme="majorHAnsi" w:eastAsiaTheme="majorEastAsia" w:cstheme="majorBidi"/>
      <w:b/>
      <w:bCs/>
      <w:sz w:val="24"/>
      <w:szCs w:val="24"/>
    </w:rPr>
  </w:style>
  <w:style w:type="character" w:customStyle="1" w:styleId="25">
    <w:name w:val="标题 7 Char"/>
    <w:basedOn w:val="15"/>
    <w:link w:val="8"/>
    <w:semiHidden/>
    <w:qFormat/>
    <w:uiPriority w:val="9"/>
    <w:rPr>
      <w:b/>
      <w:bCs/>
      <w:sz w:val="24"/>
      <w:szCs w:val="24"/>
    </w:rPr>
  </w:style>
  <w:style w:type="character" w:customStyle="1" w:styleId="26">
    <w:name w:val="标题 8 Char"/>
    <w:basedOn w:val="15"/>
    <w:link w:val="9"/>
    <w:semiHidden/>
    <w:qFormat/>
    <w:uiPriority w:val="9"/>
    <w:rPr>
      <w:rFonts w:asciiTheme="majorHAnsi" w:hAnsiTheme="majorHAnsi" w:eastAsiaTheme="majorEastAsia" w:cstheme="majorBidi"/>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501CD5-9AB1-4EC9-9971-2CAEF1A4ABB9}">
  <ds:schemaRefs/>
</ds:datastoreItem>
</file>

<file path=docProps/app.xml><?xml version="1.0" encoding="utf-8"?>
<Properties xmlns="http://schemas.openxmlformats.org/officeDocument/2006/extended-properties" xmlns:vt="http://schemas.openxmlformats.org/officeDocument/2006/docPropsVTypes">
  <Template>Normal.dotm</Template>
  <Pages>15</Pages>
  <Words>6146</Words>
  <Characters>6186</Characters>
  <Lines>12</Lines>
  <Paragraphs>3</Paragraphs>
  <TotalTime>1</TotalTime>
  <ScaleCrop>false</ScaleCrop>
  <LinksUpToDate>false</LinksUpToDate>
  <CharactersWithSpaces>6240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2019-05-21T02:29:00Z</dcterms:created>
  <dc:creator>Administrator</dc:creator>
  <cp:lastModifiedBy>晚风吹</cp:lastModifiedBy>
  <dcterms:modified xsi:type="dcterms:W3CDTF">2025-05-13T18:58:27Z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A5B65831ED734B1CBA6545E1982FBD1F_13</vt:lpwstr>
  </property>
</Properties>
</file>